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221C" w14:textId="50DDB976" w:rsidR="00DE67B4" w:rsidRDefault="0064765D" w:rsidP="00526671">
      <w:r>
        <w:t xml:space="preserve"> </w:t>
      </w:r>
    </w:p>
    <w:p w14:paraId="6BDD9F61" w14:textId="77777777" w:rsidR="00526671" w:rsidRDefault="00526671" w:rsidP="00DE67B4">
      <w:pPr>
        <w:jc w:val="center"/>
      </w:pPr>
    </w:p>
    <w:p w14:paraId="75C05782" w14:textId="77777777" w:rsidR="00526671" w:rsidRDefault="00526671" w:rsidP="00DE67B4">
      <w:pPr>
        <w:jc w:val="center"/>
      </w:pPr>
    </w:p>
    <w:p w14:paraId="25122FA5" w14:textId="77777777" w:rsidR="00526671" w:rsidRDefault="00526671" w:rsidP="00DE67B4">
      <w:pPr>
        <w:jc w:val="center"/>
      </w:pPr>
    </w:p>
    <w:p w14:paraId="20B4C556" w14:textId="77777777" w:rsidR="00526671" w:rsidRDefault="00526671" w:rsidP="00DE67B4">
      <w:pPr>
        <w:jc w:val="center"/>
      </w:pPr>
    </w:p>
    <w:p w14:paraId="6039B6F1" w14:textId="77777777" w:rsidR="00526671" w:rsidRDefault="00526671" w:rsidP="00DE67B4">
      <w:pPr>
        <w:jc w:val="center"/>
      </w:pPr>
    </w:p>
    <w:p w14:paraId="4AAA085C" w14:textId="60C8E3C5" w:rsidR="00DE67B4" w:rsidRPr="001A1092" w:rsidRDefault="005D5D4F" w:rsidP="00DE67B4">
      <w:pPr>
        <w:jc w:val="center"/>
        <w:rPr>
          <w:sz w:val="28"/>
          <w:szCs w:val="28"/>
        </w:rPr>
      </w:pPr>
      <w:r w:rsidRPr="001A1092">
        <w:rPr>
          <w:sz w:val="28"/>
          <w:szCs w:val="28"/>
        </w:rPr>
        <w:t>STANDARD</w:t>
      </w:r>
      <w:r w:rsidR="00DE67B4" w:rsidRPr="001A1092">
        <w:rPr>
          <w:sz w:val="28"/>
          <w:szCs w:val="28"/>
        </w:rPr>
        <w:t>AFTALE</w:t>
      </w:r>
      <w:r w:rsidR="006A700C">
        <w:rPr>
          <w:rStyle w:val="Fodnotehenvisning"/>
          <w:sz w:val="28"/>
          <w:szCs w:val="28"/>
        </w:rPr>
        <w:footnoteReference w:id="2"/>
      </w:r>
    </w:p>
    <w:p w14:paraId="63E55A24" w14:textId="70BFF4D0" w:rsidR="001A1092" w:rsidRDefault="001A1092" w:rsidP="00DE67B4">
      <w:pPr>
        <w:jc w:val="center"/>
      </w:pPr>
    </w:p>
    <w:p w14:paraId="0F1FB252" w14:textId="77777777" w:rsidR="001A1092" w:rsidRDefault="001A1092" w:rsidP="00DE67B4">
      <w:pPr>
        <w:jc w:val="center"/>
      </w:pPr>
    </w:p>
    <w:p w14:paraId="780F7B39" w14:textId="24F5F6DE" w:rsidR="00DE67B4" w:rsidRDefault="001A1092" w:rsidP="001A1092">
      <w:r>
        <w:t>M</w:t>
      </w:r>
      <w:r w:rsidR="00DE67B4">
        <w:t>ellem</w:t>
      </w:r>
    </w:p>
    <w:p w14:paraId="4EF4770B" w14:textId="761F4AA4" w:rsidR="003F46AE" w:rsidRDefault="00EE6EE3" w:rsidP="00DE67B4">
      <w:pPr>
        <w:jc w:val="center"/>
      </w:pPr>
      <w:r w:rsidRPr="000361B4">
        <w:rPr>
          <w:color w:val="FF0000"/>
        </w:rPr>
        <w:t>[</w:t>
      </w:r>
      <w:r w:rsidR="000361B4" w:rsidRPr="000361B4">
        <w:rPr>
          <w:color w:val="FF0000"/>
        </w:rPr>
        <w:t xml:space="preserve">Indsæt </w:t>
      </w:r>
      <w:r w:rsidR="00DE67B4" w:rsidRPr="000361B4">
        <w:rPr>
          <w:color w:val="FF0000"/>
        </w:rPr>
        <w:t>Kommune</w:t>
      </w:r>
      <w:r w:rsidR="000361B4" w:rsidRPr="000361B4">
        <w:rPr>
          <w:color w:val="FF0000"/>
        </w:rPr>
        <w:t>ns</w:t>
      </w:r>
      <w:r w:rsidR="004E5A48" w:rsidRPr="000361B4">
        <w:rPr>
          <w:color w:val="FF0000"/>
        </w:rPr>
        <w:t>/Regio</w:t>
      </w:r>
      <w:r w:rsidR="003F46AE" w:rsidRPr="000361B4">
        <w:rPr>
          <w:color w:val="FF0000"/>
        </w:rPr>
        <w:t>n</w:t>
      </w:r>
      <w:r w:rsidR="000361B4" w:rsidRPr="000361B4">
        <w:rPr>
          <w:color w:val="FF0000"/>
        </w:rPr>
        <w:t>ens navn</w:t>
      </w:r>
      <w:r w:rsidRPr="000361B4">
        <w:rPr>
          <w:color w:val="FF0000"/>
        </w:rPr>
        <w:t>]</w:t>
      </w:r>
    </w:p>
    <w:p w14:paraId="60F7509B" w14:textId="0D89967A" w:rsidR="00DE67B4" w:rsidRDefault="005A067F" w:rsidP="00DE67B4">
      <w:pPr>
        <w:jc w:val="center"/>
      </w:pPr>
      <w:r w:rsidRPr="00681D4A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  <w:r w:rsidR="00DE67B4">
        <w:t>og</w:t>
      </w:r>
    </w:p>
    <w:p w14:paraId="7475DDE8" w14:textId="6555FB1A" w:rsidR="00DE67B4" w:rsidRPr="00BF2F54" w:rsidRDefault="005E32BF" w:rsidP="00DE67B4">
      <w:pPr>
        <w:jc w:val="center"/>
      </w:pPr>
      <w:r>
        <w:t xml:space="preserve">Forhandlingsfællesskabets </w:t>
      </w:r>
      <w:r w:rsidR="0053192C">
        <w:t>medlemsorganisation</w:t>
      </w:r>
      <w:r>
        <w:t>er</w:t>
      </w:r>
      <w:r w:rsidR="0053192C">
        <w:t>, jf. bilag 1.</w:t>
      </w:r>
    </w:p>
    <w:p w14:paraId="6115A662" w14:textId="77777777" w:rsidR="00A17A72" w:rsidRPr="00B16E04" w:rsidRDefault="00A17A72" w:rsidP="00860834">
      <w:pPr>
        <w:jc w:val="center"/>
      </w:pPr>
    </w:p>
    <w:p w14:paraId="6D3F6A5A" w14:textId="4682CD1E" w:rsidR="008417FD" w:rsidRDefault="00DE67B4" w:rsidP="00860834">
      <w:pPr>
        <w:jc w:val="center"/>
      </w:pPr>
      <w:r>
        <w:t xml:space="preserve">er der indgået nedenstående aftale (herefter ”Aftalen”) </w:t>
      </w:r>
      <w:r w:rsidR="00860834">
        <w:t xml:space="preserve">om </w:t>
      </w:r>
      <w:r w:rsidR="00C021FE">
        <w:t>behandling af personoplysninger under anvendelse af et IT-system</w:t>
      </w:r>
      <w:r w:rsidR="00344087">
        <w:t>/IT-systemer</w:t>
      </w:r>
      <w:r w:rsidR="00F244D4">
        <w:t xml:space="preserve">, som arbejdsgiver har stillet til rådighed for </w:t>
      </w:r>
      <w:r w:rsidR="00860834">
        <w:t>tillidsrepræsentant</w:t>
      </w:r>
      <w:r w:rsidR="00F244D4">
        <w:t>en</w:t>
      </w:r>
      <w:r w:rsidR="008417FD">
        <w:t xml:space="preserve"> </w:t>
      </w:r>
    </w:p>
    <w:p w14:paraId="0E3766D8" w14:textId="77777777" w:rsidR="008417FD" w:rsidRDefault="008417FD" w:rsidP="00860834">
      <w:pPr>
        <w:jc w:val="center"/>
      </w:pPr>
    </w:p>
    <w:p w14:paraId="53484B14" w14:textId="55BFE0A3" w:rsidR="008417FD" w:rsidRDefault="008417FD" w:rsidP="00860834">
      <w:pPr>
        <w:jc w:val="center"/>
      </w:pPr>
    </w:p>
    <w:p w14:paraId="117F7778" w14:textId="64C218D9" w:rsidR="00A145E5" w:rsidRPr="00A145E5" w:rsidRDefault="008417FD" w:rsidP="00860834">
      <w:pPr>
        <w:jc w:val="center"/>
      </w:pPr>
      <w:r>
        <w:t xml:space="preserve"> </w:t>
      </w:r>
      <w:r w:rsidR="00175FE9">
        <w:t xml:space="preserve"> </w:t>
      </w:r>
      <w:r w:rsidR="00DE67B4">
        <w:br w:type="page"/>
      </w:r>
    </w:p>
    <w:p w14:paraId="7DA42CBE" w14:textId="4A3C57EB" w:rsidR="00860834" w:rsidRPr="007730EB" w:rsidRDefault="00EF79E1" w:rsidP="00860834">
      <w:pPr>
        <w:rPr>
          <w:b/>
        </w:rPr>
      </w:pPr>
      <w:r>
        <w:rPr>
          <w:b/>
        </w:rPr>
        <w:lastRenderedPageBreak/>
        <w:t xml:space="preserve">1. </w:t>
      </w:r>
      <w:r w:rsidR="00860834" w:rsidRPr="007730EB">
        <w:rPr>
          <w:b/>
        </w:rPr>
        <w:t>Indledning</w:t>
      </w:r>
    </w:p>
    <w:p w14:paraId="65249DEC" w14:textId="620E2E4D" w:rsidR="0050499D" w:rsidRDefault="00CC0FF6" w:rsidP="005A3A5D">
      <w:pPr>
        <w:ind w:left="284"/>
      </w:pPr>
      <w:r w:rsidRPr="005A3A5D">
        <w:rPr>
          <w:b/>
        </w:rPr>
        <w:t>1.1.</w:t>
      </w:r>
      <w:r>
        <w:t xml:space="preserve"> </w:t>
      </w:r>
      <w:r w:rsidR="0050499D">
        <w:t xml:space="preserve">Parterne </w:t>
      </w:r>
      <w:r w:rsidR="0050499D" w:rsidRPr="0030070D">
        <w:t xml:space="preserve"> er enige om, at tillidsrepræsentanten er den centrale medarbejderrepræsentant, og at samarbejdet mellem ledelsen og medarbejderne bygger på tillidsrepræsentantinstitutionen.</w:t>
      </w:r>
      <w:r w:rsidR="00815F24" w:rsidRPr="00815F24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1E556199" w14:textId="0D806A0A" w:rsidR="00860834" w:rsidRPr="00965030" w:rsidRDefault="00860834" w:rsidP="005A3A5D">
      <w:pPr>
        <w:ind w:left="284"/>
        <w:rPr>
          <w:iCs/>
        </w:rPr>
      </w:pPr>
      <w:r>
        <w:t>I henhold til MED-</w:t>
      </w:r>
      <w:r w:rsidR="00D114FB">
        <w:t>ramme</w:t>
      </w:r>
      <w:r>
        <w:t>aftalen</w:t>
      </w:r>
      <w:r w:rsidR="00871EFA">
        <w:rPr>
          <w:rStyle w:val="Fodnotehenvisning"/>
        </w:rPr>
        <w:footnoteReference w:id="3"/>
      </w:r>
      <w:r>
        <w:t xml:space="preserve"> skal det "</w:t>
      </w:r>
      <w:r w:rsidRPr="00F53744">
        <w:rPr>
          <w:i/>
        </w:rPr>
        <w:t>g</w:t>
      </w:r>
      <w:r>
        <w:rPr>
          <w:i/>
        </w:rPr>
        <w:t>ennem forhandling sikres…at tillidsrepræsentanten har mulighed for via tilgængeligt udstyr på arbejdspladsen – f.eks. IT-udstyr og internetopkobling – at kunne varetage sine arbejdspladsrelaterede tillidsrepræsentantopgaver forsvarligt."</w:t>
      </w:r>
      <w:r w:rsidR="00965030">
        <w:rPr>
          <w:iCs/>
        </w:rPr>
        <w:t xml:space="preserve"> </w:t>
      </w:r>
    </w:p>
    <w:p w14:paraId="0538C9A8" w14:textId="313FCF8A" w:rsidR="00CC0FF6" w:rsidRDefault="00CC0FF6" w:rsidP="005A3A5D">
      <w:pPr>
        <w:ind w:left="284"/>
      </w:pPr>
      <w:r w:rsidRPr="005A3A5D">
        <w:rPr>
          <w:b/>
        </w:rPr>
        <w:t>1.2.</w:t>
      </w:r>
      <w:r>
        <w:t xml:space="preserve"> </w:t>
      </w:r>
      <w:r w:rsidR="0046389C" w:rsidRPr="00771F2D">
        <w:t xml:space="preserve">Persondataforordningen og databeskyttelsesloven fra 2018 fastsætter nye regler for beskyttelse af persondata. </w:t>
      </w:r>
      <w:r w:rsidR="00860834">
        <w:t xml:space="preserve"> </w:t>
      </w:r>
      <w:r w:rsidR="00C229A0">
        <w:t xml:space="preserve">Nærværende aftale </w:t>
      </w:r>
      <w:r w:rsidR="00860834">
        <w:t>understøtte</w:t>
      </w:r>
      <w:r w:rsidR="003D0524">
        <w:t>r</w:t>
      </w:r>
      <w:r w:rsidR="00860834">
        <w:t xml:space="preserve"> </w:t>
      </w:r>
      <w:r w:rsidR="003A11BC">
        <w:t>parternes</w:t>
      </w:r>
      <w:r w:rsidR="00860834">
        <w:t xml:space="preserve"> dataansvar</w:t>
      </w:r>
      <w:r w:rsidR="003D0524">
        <w:t xml:space="preserve"> og </w:t>
      </w:r>
      <w:r w:rsidR="003A11BC">
        <w:t xml:space="preserve"> </w:t>
      </w:r>
      <w:r w:rsidR="00C229A0" w:rsidRPr="00771F2D">
        <w:t>præcisere</w:t>
      </w:r>
      <w:r w:rsidR="00C229A0">
        <w:t>r</w:t>
      </w:r>
      <w:r w:rsidR="00C229A0" w:rsidRPr="00771F2D">
        <w:t xml:space="preserve"> de databeskyttelsesretlige rammer</w:t>
      </w:r>
      <w:r w:rsidR="009E004E">
        <w:t xml:space="preserve"> i de situationer, hvor </w:t>
      </w:r>
      <w:r w:rsidR="00C229A0" w:rsidRPr="00771F2D">
        <w:t>tillidsrepræsentant</w:t>
      </w:r>
      <w:r w:rsidR="00C229A0">
        <w:t>en</w:t>
      </w:r>
      <w:r w:rsidR="009E004E">
        <w:t xml:space="preserve">, som led i varetagelsen af </w:t>
      </w:r>
      <w:r w:rsidR="00C229A0">
        <w:t>TR-hvervet</w:t>
      </w:r>
      <w:r w:rsidR="009E004E">
        <w:t>,</w:t>
      </w:r>
      <w:r w:rsidR="00C229A0">
        <w:t xml:space="preserve"> behandler og </w:t>
      </w:r>
      <w:r w:rsidR="00C229A0" w:rsidRPr="00771F2D">
        <w:t>opbevarer personoplysninger</w:t>
      </w:r>
      <w:r w:rsidR="00C229A0">
        <w:t xml:space="preserve"> på et IT-system</w:t>
      </w:r>
      <w:r w:rsidR="00986FFF">
        <w:t>/IT-systemer</w:t>
      </w:r>
      <w:r w:rsidR="00C229A0">
        <w:t>, som</w:t>
      </w:r>
      <w:r w:rsidR="00C229A0" w:rsidRPr="009F62D2">
        <w:t xml:space="preserve"> </w:t>
      </w:r>
      <w:r w:rsidR="00C229A0">
        <w:t>arbejdsgiver har stillet til rådighed for tillidsrepræsentanten</w:t>
      </w:r>
      <w:r w:rsidR="00A91790">
        <w:rPr>
          <w:rStyle w:val="Fodnotehenvisning"/>
        </w:rPr>
        <w:footnoteReference w:id="4"/>
      </w:r>
      <w:r w:rsidR="003A11BC">
        <w:t>.</w:t>
      </w:r>
      <w:r w:rsidR="00860834">
        <w:t xml:space="preserve"> </w:t>
      </w:r>
      <w:r w:rsidR="00E15E6F">
        <w:t>A</w:t>
      </w:r>
      <w:r w:rsidR="00860834">
        <w:t xml:space="preserve">ftalen sikrer, at arbejdsgiver yder den </w:t>
      </w:r>
      <w:r w:rsidR="009E004E">
        <w:t>nødvendige</w:t>
      </w:r>
      <w:r w:rsidR="00860834">
        <w:t xml:space="preserve"> teknisk</w:t>
      </w:r>
      <w:r w:rsidR="00D114FB">
        <w:t>e</w:t>
      </w:r>
      <w:r w:rsidR="00860834">
        <w:t xml:space="preserve"> bistand </w:t>
      </w:r>
      <w:r w:rsidR="00860834" w:rsidRPr="005964D6">
        <w:t>til de faglige organisationer</w:t>
      </w:r>
      <w:r w:rsidR="00860834">
        <w:t xml:space="preserve"> </w:t>
      </w:r>
      <w:r w:rsidR="00764BDF">
        <w:t xml:space="preserve">gennem TR </w:t>
      </w:r>
      <w:r w:rsidR="00860834">
        <w:t>med henblik på bl.a.  at sikre håndtering af de registreredes rettigheder og sikre fortrolighed omkring den registreredes personoplysninger.</w:t>
      </w:r>
      <w:r w:rsidR="00815F24" w:rsidRPr="00815F24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4C8DE5B3" w14:textId="212968ED" w:rsidR="00860834" w:rsidRDefault="008B5875" w:rsidP="005A3A5D">
      <w:pPr>
        <w:ind w:left="284"/>
      </w:pPr>
      <w:r w:rsidRPr="00B16761">
        <w:t>I overensstemmelse med de data</w:t>
      </w:r>
      <w:r w:rsidR="00CC0FF6" w:rsidRPr="00B16761">
        <w:t>beskyttelses</w:t>
      </w:r>
      <w:r w:rsidRPr="00B16761">
        <w:t>retlige regler</w:t>
      </w:r>
      <w:r w:rsidR="00CC0FF6" w:rsidRPr="00B16761">
        <w:t xml:space="preserve"> </w:t>
      </w:r>
      <w:r w:rsidR="00EF79E1" w:rsidRPr="00B16761">
        <w:t>gælder følgende</w:t>
      </w:r>
      <w:r w:rsidRPr="00B16761">
        <w:t>:</w:t>
      </w:r>
    </w:p>
    <w:p w14:paraId="158BC35D" w14:textId="1869F79B" w:rsidR="008B5875" w:rsidRPr="00F80876" w:rsidRDefault="008B5875" w:rsidP="005A3A5D">
      <w:pPr>
        <w:pStyle w:val="Listeafsnit"/>
        <w:numPr>
          <w:ilvl w:val="0"/>
          <w:numId w:val="4"/>
        </w:numPr>
        <w:spacing w:after="0"/>
        <w:ind w:left="851" w:hanging="284"/>
        <w:contextualSpacing w:val="0"/>
        <w:rPr>
          <w:b/>
        </w:rPr>
      </w:pPr>
      <w:r w:rsidRPr="00F80876">
        <w:t xml:space="preserve">Den faglige organisation </w:t>
      </w:r>
      <w:r w:rsidR="00EF79E1" w:rsidRPr="00F80876">
        <w:t xml:space="preserve">er </w:t>
      </w:r>
      <w:r w:rsidRPr="00F80876">
        <w:t>dataansvarlig for behandling af personoplysninger, som sker som led i tillidsrepræsentantens varetagelse af sin funktion (behandlingsformålet).</w:t>
      </w:r>
      <w:r w:rsidR="00815F24" w:rsidRPr="00F80876">
        <w:rPr>
          <w:rFonts w:cstheme="minorHAnsi"/>
          <w:b/>
          <w:bCs/>
          <w:color w:val="70AD47" w:themeColor="accent6"/>
        </w:rPr>
        <w:t xml:space="preserve"> </w:t>
      </w:r>
    </w:p>
    <w:p w14:paraId="2ED2E039" w14:textId="77777777" w:rsidR="00F80876" w:rsidRPr="00F80876" w:rsidRDefault="00F80876" w:rsidP="00F80876">
      <w:pPr>
        <w:pStyle w:val="Listeafsnit"/>
        <w:spacing w:after="0"/>
        <w:contextualSpacing w:val="0"/>
        <w:rPr>
          <w:rFonts w:cs="Times New Roman"/>
        </w:rPr>
      </w:pPr>
    </w:p>
    <w:p w14:paraId="11DB1384" w14:textId="4BD46927" w:rsidR="00D114FB" w:rsidRPr="00F80876" w:rsidRDefault="008B5875" w:rsidP="005A3A5D">
      <w:pPr>
        <w:pStyle w:val="Listeafsnit"/>
        <w:spacing w:after="0"/>
        <w:ind w:left="851"/>
        <w:contextualSpacing w:val="0"/>
      </w:pPr>
      <w:r w:rsidRPr="00F80876">
        <w:rPr>
          <w:rFonts w:cs="Times New Roman"/>
        </w:rPr>
        <w:t xml:space="preserve">Den faglige organisation </w:t>
      </w:r>
      <w:r w:rsidR="00EF79E1" w:rsidRPr="00F80876">
        <w:rPr>
          <w:rFonts w:cs="Times New Roman"/>
        </w:rPr>
        <w:t xml:space="preserve">er </w:t>
      </w:r>
      <w:r w:rsidRPr="00F80876">
        <w:rPr>
          <w:rFonts w:cs="Times New Roman"/>
        </w:rPr>
        <w:t>ansvarlig for, at der foreligger et gyldigt behandlingsgrundlag og for at kunne dokumentere dette, fx over for tilsynsmyndigheden.</w:t>
      </w:r>
      <w:r w:rsidRPr="00F80876">
        <w:t xml:space="preserve"> </w:t>
      </w:r>
    </w:p>
    <w:p w14:paraId="6F6E8DF9" w14:textId="43414DE9" w:rsidR="008B5875" w:rsidRPr="00F80876" w:rsidRDefault="008B5875" w:rsidP="005A3A5D">
      <w:pPr>
        <w:pStyle w:val="Listeafsnit"/>
        <w:spacing w:line="256" w:lineRule="auto"/>
        <w:ind w:left="851"/>
        <w:rPr>
          <w:b/>
        </w:rPr>
      </w:pPr>
    </w:p>
    <w:p w14:paraId="00DEFD57" w14:textId="3D510816" w:rsidR="00591552" w:rsidRPr="00F80876" w:rsidRDefault="008B5875" w:rsidP="00AC3DBF">
      <w:pPr>
        <w:pStyle w:val="Listeafsnit"/>
        <w:numPr>
          <w:ilvl w:val="0"/>
          <w:numId w:val="4"/>
        </w:numPr>
        <w:spacing w:after="0"/>
        <w:ind w:left="851" w:hanging="284"/>
        <w:contextualSpacing w:val="0"/>
      </w:pPr>
      <w:r w:rsidRPr="00F80876">
        <w:t xml:space="preserve">Arbejdsgiver </w:t>
      </w:r>
      <w:r w:rsidR="00EF79E1" w:rsidRPr="00F80876">
        <w:t xml:space="preserve">er </w:t>
      </w:r>
      <w:r w:rsidRPr="00F80876">
        <w:t xml:space="preserve">dataansvarlig for </w:t>
      </w:r>
      <w:r w:rsidR="00EF79E1" w:rsidRPr="00F80876">
        <w:t>opbevaring</w:t>
      </w:r>
      <w:r w:rsidRPr="00F80876">
        <w:t xml:space="preserve"> af personoplysninger, som </w:t>
      </w:r>
      <w:r w:rsidR="00EF79E1" w:rsidRPr="00F80876">
        <w:t>tillidsrepræsentanten</w:t>
      </w:r>
      <w:r w:rsidRPr="00F80876">
        <w:t xml:space="preserve"> </w:t>
      </w:r>
      <w:r w:rsidR="00123813" w:rsidRPr="00F80876">
        <w:t>lagrer</w:t>
      </w:r>
      <w:r w:rsidRPr="00F80876">
        <w:t xml:space="preserve"> i</w:t>
      </w:r>
      <w:r w:rsidR="008D7C2B" w:rsidRPr="00F80876">
        <w:t xml:space="preserve"> et IT-system/IT-systemer</w:t>
      </w:r>
      <w:r w:rsidR="008D7C2B" w:rsidRPr="002C42DA">
        <w:t>,</w:t>
      </w:r>
      <w:r w:rsidR="0095615A" w:rsidRPr="002C42DA">
        <w:t xml:space="preserve"> som arbejdsgiver har stillet  til rådighed for opbevaring</w:t>
      </w:r>
      <w:r w:rsidRPr="00F80876">
        <w:t xml:space="preserve">. </w:t>
      </w:r>
    </w:p>
    <w:p w14:paraId="301A18FC" w14:textId="77777777" w:rsidR="00F80876" w:rsidRPr="00F80876" w:rsidRDefault="00F80876" w:rsidP="00A91790">
      <w:pPr>
        <w:pStyle w:val="Listeafsnit"/>
        <w:spacing w:after="0"/>
        <w:contextualSpacing w:val="0"/>
      </w:pPr>
    </w:p>
    <w:p w14:paraId="05EE4D75" w14:textId="163ECDBA" w:rsidR="00591552" w:rsidRPr="00F80876" w:rsidRDefault="00591552" w:rsidP="005A3A5D">
      <w:pPr>
        <w:pStyle w:val="Listeafsnit"/>
        <w:spacing w:after="0"/>
        <w:ind w:left="851"/>
        <w:contextualSpacing w:val="0"/>
        <w:rPr>
          <w:rFonts w:cs="Times New Roman"/>
        </w:rPr>
      </w:pPr>
      <w:r w:rsidRPr="00F80876">
        <w:rPr>
          <w:rFonts w:cs="Times New Roman"/>
        </w:rPr>
        <w:t xml:space="preserve">Dataansvaret indebærer, at arbejdsgiver – såfremt arbejdsgiver for det/de nævnte IT-system/IT-systemer benytter sig af overførsel til tredjelande eller internationale organisationer – er ansvarlig for, at der er et lovligt overførselsgrundlag, jf. artikel 44-46 i databeskyttelsesforordningen. </w:t>
      </w:r>
    </w:p>
    <w:p w14:paraId="62FE0466" w14:textId="150FC431" w:rsidR="008B5875" w:rsidRDefault="00A52764" w:rsidP="00591552">
      <w:pPr>
        <w:pStyle w:val="Listeafsnit"/>
      </w:pPr>
      <w:r>
        <w:t xml:space="preserve">  </w:t>
      </w:r>
    </w:p>
    <w:p w14:paraId="32D3F2A6" w14:textId="17F374ED" w:rsidR="0053177C" w:rsidRDefault="00860834" w:rsidP="00EC24C8">
      <w:pPr>
        <w:ind w:left="284"/>
      </w:pPr>
      <w:r>
        <w:t xml:space="preserve">De faglige organisationers dataansvar udøves i praksis af tillidsrepræsentanterne. Det vil således alene være tillidsrepræsentanten, der har adgang til </w:t>
      </w:r>
      <w:r w:rsidR="003A1FC6">
        <w:t>arbejds</w:t>
      </w:r>
      <w:r w:rsidR="00B478F5">
        <w:t xml:space="preserve">pladsens </w:t>
      </w:r>
      <w:r>
        <w:t>IT-udstyr</w:t>
      </w:r>
      <w:r w:rsidR="00B478F5">
        <w:t xml:space="preserve"> og det IT</w:t>
      </w:r>
      <w:r w:rsidR="003A1FC6">
        <w:t>-system</w:t>
      </w:r>
      <w:r w:rsidR="00B478F5">
        <w:t>/de IT-systemer, som arbejd</w:t>
      </w:r>
      <w:r w:rsidR="0074110C">
        <w:t>s</w:t>
      </w:r>
      <w:r w:rsidR="00B478F5">
        <w:t>giver har stillet rådighed for tillidsrepræsentanten</w:t>
      </w:r>
      <w:r>
        <w:t xml:space="preserve">, </w:t>
      </w:r>
      <w:r w:rsidR="0064765D">
        <w:t>selv om det er</w:t>
      </w:r>
      <w:r>
        <w:t xml:space="preserve"> den faglige organisation, der er dataansvarlig i forhold til tillidsrepræsentantens behandling af personoplysninger</w:t>
      </w:r>
      <w:r w:rsidR="0053177C">
        <w:t>.</w:t>
      </w:r>
      <w:r w:rsidR="00635665" w:rsidRPr="00635665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35333EA7" w14:textId="5715D5EF" w:rsidR="00860834" w:rsidRDefault="00860834" w:rsidP="002747A7">
      <w:pPr>
        <w:ind w:left="284"/>
      </w:pPr>
      <w:r>
        <w:t xml:space="preserve">Det indbyrdes forhold mellem tillidsrepræsentanten og den faglige organisation reguleres ikke i denne aftale.  </w:t>
      </w:r>
    </w:p>
    <w:p w14:paraId="0775D128" w14:textId="0CE955A1" w:rsidR="00A962B2" w:rsidRDefault="00860834" w:rsidP="002747A7">
      <w:pPr>
        <w:ind w:left="284"/>
      </w:pPr>
      <w:r>
        <w:t>I aftalen anvendes "arbejdsgiver" som betegnelse for kommunen/regionen.  ”Faglig organisation</w:t>
      </w:r>
      <w:r w:rsidR="0050499D">
        <w:t xml:space="preserve"> og</w:t>
      </w:r>
      <w:r>
        <w:t xml:space="preserve"> TR” anvendes som betegnelse for </w:t>
      </w:r>
      <w:r w:rsidR="0013409A">
        <w:t xml:space="preserve">den faglige organisation som dataansvarlig  og </w:t>
      </w:r>
      <w:r>
        <w:t xml:space="preserve">tillidsrepræsentantens udøvende funktion. </w:t>
      </w:r>
    </w:p>
    <w:p w14:paraId="4DCF5ABA" w14:textId="44D53740" w:rsidR="001316AB" w:rsidRDefault="00F9018F" w:rsidP="002747A7">
      <w:pPr>
        <w:ind w:left="284"/>
      </w:pPr>
      <w:r>
        <w:lastRenderedPageBreak/>
        <w:t>Der henvises i øvrigt til Datatilsynets vejledning om databeskyttelse i ansættelsesforhold.</w:t>
      </w:r>
    </w:p>
    <w:p w14:paraId="64C1C03D" w14:textId="6E86B94F" w:rsidR="004E4397" w:rsidRPr="00DE49C1" w:rsidRDefault="00EF79E1" w:rsidP="00DE49C1">
      <w:pPr>
        <w:rPr>
          <w:b/>
        </w:rPr>
      </w:pPr>
      <w:r>
        <w:rPr>
          <w:b/>
        </w:rPr>
        <w:t xml:space="preserve">2. </w:t>
      </w:r>
      <w:r w:rsidR="00920AF0" w:rsidRPr="00DE49C1">
        <w:rPr>
          <w:b/>
        </w:rPr>
        <w:t>De registreredes rettigheder</w:t>
      </w:r>
    </w:p>
    <w:p w14:paraId="331A33EA" w14:textId="14C89133" w:rsidR="00BA68A5" w:rsidRDefault="00BA68A5" w:rsidP="00DE49C1">
      <w:pPr>
        <w:tabs>
          <w:tab w:val="left" w:pos="993"/>
        </w:tabs>
        <w:ind w:left="284"/>
      </w:pPr>
      <w:r w:rsidRPr="00DE49C1">
        <w:rPr>
          <w:b/>
        </w:rPr>
        <w:t>2.1</w:t>
      </w:r>
      <w:r w:rsidR="00DE49C1">
        <w:rPr>
          <w:b/>
        </w:rPr>
        <w:t>.</w:t>
      </w:r>
      <w:r>
        <w:t xml:space="preserve"> </w:t>
      </w:r>
      <w:r w:rsidR="00EF79E1">
        <w:t>Den f</w:t>
      </w:r>
      <w:r w:rsidR="00920AF0">
        <w:t>aglig</w:t>
      </w:r>
      <w:r w:rsidR="00EF79E1">
        <w:t>e</w:t>
      </w:r>
      <w:r w:rsidR="00920AF0">
        <w:t xml:space="preserve"> organisation </w:t>
      </w:r>
      <w:r w:rsidR="00F80876">
        <w:t xml:space="preserve">er – med TR’s bistand - </w:t>
      </w:r>
      <w:r w:rsidR="00920AF0">
        <w:t xml:space="preserve">ansvarlig for </w:t>
      </w:r>
      <w:r w:rsidR="00EF79E1">
        <w:t xml:space="preserve">opfyldelsen </w:t>
      </w:r>
      <w:r w:rsidR="00FF5EA2">
        <w:t xml:space="preserve">af </w:t>
      </w:r>
      <w:r w:rsidR="00920AF0">
        <w:t>de registreredes rettigheder</w:t>
      </w:r>
      <w:r w:rsidR="0017752C">
        <w:t>,</w:t>
      </w:r>
      <w:r w:rsidR="002E23D0">
        <w:t xml:space="preserve"> som de fremgår af data</w:t>
      </w:r>
      <w:r w:rsidR="00A86C63">
        <w:t>beskyttelses</w:t>
      </w:r>
      <w:r w:rsidR="0017752C">
        <w:t>forordningens kapitel III og databeskyttelseslovens §§ 22 og 23</w:t>
      </w:r>
      <w:r w:rsidR="00B27E26">
        <w:t xml:space="preserve"> i forhold til den behandling</w:t>
      </w:r>
      <w:r w:rsidR="002B0065">
        <w:t>, som</w:t>
      </w:r>
      <w:r w:rsidR="00B27E26">
        <w:t xml:space="preserve"> </w:t>
      </w:r>
      <w:r w:rsidR="00EF79E1">
        <w:t xml:space="preserve">den </w:t>
      </w:r>
      <w:r w:rsidR="00B27E26">
        <w:t>faglig</w:t>
      </w:r>
      <w:r w:rsidR="00EF79E1">
        <w:t>e</w:t>
      </w:r>
      <w:r w:rsidR="00B27E26">
        <w:t xml:space="preserve"> organisation</w:t>
      </w:r>
      <w:r w:rsidR="00EF79E1">
        <w:t xml:space="preserve"> </w:t>
      </w:r>
      <w:r w:rsidR="00953713">
        <w:t xml:space="preserve">og </w:t>
      </w:r>
      <w:r w:rsidR="00EF79E1">
        <w:t>TR</w:t>
      </w:r>
      <w:r w:rsidR="00B27E26">
        <w:t xml:space="preserve"> er dataansvarlig for</w:t>
      </w:r>
      <w:r w:rsidR="0017752C">
        <w:t xml:space="preserve">. </w:t>
      </w:r>
      <w:r w:rsidR="00A86C63">
        <w:t>Der henvises endvidere til Datatilsynets</w:t>
      </w:r>
      <w:r w:rsidR="00505022">
        <w:t xml:space="preserve"> </w:t>
      </w:r>
      <w:r w:rsidR="00A070AC">
        <w:t>”</w:t>
      </w:r>
      <w:r w:rsidR="00A86C63">
        <w:t xml:space="preserve">Vejledning om </w:t>
      </w:r>
      <w:r w:rsidR="00FF5EA2">
        <w:t>de registreredes rettigheder</w:t>
      </w:r>
      <w:r w:rsidR="00A070AC">
        <w:t>”</w:t>
      </w:r>
      <w:r w:rsidR="00FF5EA2">
        <w:t>.</w:t>
      </w:r>
      <w:r w:rsidR="00765A4F">
        <w:t xml:space="preserve"> </w:t>
      </w:r>
    </w:p>
    <w:p w14:paraId="51B0F1DC" w14:textId="2509ED54" w:rsidR="002B0065" w:rsidRDefault="00BA68A5" w:rsidP="002B0065">
      <w:pPr>
        <w:tabs>
          <w:tab w:val="left" w:pos="993"/>
        </w:tabs>
        <w:ind w:left="284"/>
      </w:pPr>
      <w:r w:rsidRPr="002B0065">
        <w:rPr>
          <w:b/>
        </w:rPr>
        <w:t>2.2.</w:t>
      </w:r>
      <w:r>
        <w:t xml:space="preserve"> Den faglige </w:t>
      </w:r>
      <w:r w:rsidR="008C074D">
        <w:t>organisation</w:t>
      </w:r>
      <w:r>
        <w:t xml:space="preserve"> </w:t>
      </w:r>
      <w:r w:rsidR="00953713">
        <w:t>og</w:t>
      </w:r>
      <w:r w:rsidR="008C074D">
        <w:t xml:space="preserve"> </w:t>
      </w:r>
      <w:r>
        <w:t xml:space="preserve">TR </w:t>
      </w:r>
      <w:r w:rsidR="008C074D">
        <w:t xml:space="preserve">opfylder </w:t>
      </w:r>
      <w:r w:rsidR="005930DD">
        <w:t xml:space="preserve">ligeledes </w:t>
      </w:r>
      <w:r w:rsidR="00023B78">
        <w:t xml:space="preserve">i medfør af denne aftale </w:t>
      </w:r>
      <w:r w:rsidR="008C074D">
        <w:t xml:space="preserve">de registreredes rettigheder </w:t>
      </w:r>
      <w:r w:rsidR="00290847">
        <w:t xml:space="preserve">i forhold til </w:t>
      </w:r>
      <w:r w:rsidR="008C074D">
        <w:t>arbejdsgivers opbevaring</w:t>
      </w:r>
      <w:r w:rsidR="00290847">
        <w:t xml:space="preserve"> af personoplysninger</w:t>
      </w:r>
      <w:r w:rsidR="00953713" w:rsidRPr="009A4616">
        <w:t>, som den faglige organisation og TR</w:t>
      </w:r>
      <w:r w:rsidR="004861DA" w:rsidRPr="009A4616">
        <w:t xml:space="preserve"> -</w:t>
      </w:r>
      <w:r w:rsidR="009A4616">
        <w:t xml:space="preserve"> </w:t>
      </w:r>
      <w:r w:rsidR="0068789E" w:rsidRPr="009A4616">
        <w:t xml:space="preserve">bortset fra denne opbevaring </w:t>
      </w:r>
      <w:r w:rsidR="004861DA" w:rsidRPr="009A4616">
        <w:t xml:space="preserve">- </w:t>
      </w:r>
      <w:r w:rsidR="00953713" w:rsidRPr="009A4616">
        <w:t>er dataansvarlig for</w:t>
      </w:r>
      <w:r w:rsidR="0068789E" w:rsidRPr="009A4616">
        <w:t xml:space="preserve"> behandlingen a</w:t>
      </w:r>
      <w:r w:rsidR="0068789E" w:rsidRPr="005D6AD5">
        <w:t>f</w:t>
      </w:r>
      <w:r w:rsidR="008C074D" w:rsidRPr="005D6AD5">
        <w:t>.</w:t>
      </w:r>
      <w:r w:rsidR="008C074D">
        <w:t xml:space="preserve"> De</w:t>
      </w:r>
      <w:r w:rsidR="00290847">
        <w:t xml:space="preserve">rved </w:t>
      </w:r>
      <w:r w:rsidR="008C074D">
        <w:t>sikre</w:t>
      </w:r>
      <w:r w:rsidR="00290847">
        <w:t>s</w:t>
      </w:r>
      <w:r w:rsidR="008C074D">
        <w:t>, at arbejdsgiver ikke behandler eller f</w:t>
      </w:r>
      <w:r w:rsidR="00290847">
        <w:t>å</w:t>
      </w:r>
      <w:r w:rsidR="008C074D">
        <w:t>r adgang til flere oplysninge</w:t>
      </w:r>
      <w:r w:rsidR="001B7C56">
        <w:t>r</w:t>
      </w:r>
      <w:r w:rsidR="008C074D">
        <w:t>, e</w:t>
      </w:r>
      <w:r w:rsidR="00290847">
        <w:t>n</w:t>
      </w:r>
      <w:r w:rsidR="008C074D">
        <w:t xml:space="preserve">d hvad arbejdsgivers formål med opbevaring af personoplysninger forudsætter. </w:t>
      </w:r>
    </w:p>
    <w:p w14:paraId="7B61FB15" w14:textId="2A7559FC" w:rsidR="002E23D0" w:rsidRDefault="00BA68A5" w:rsidP="002B0065">
      <w:pPr>
        <w:tabs>
          <w:tab w:val="left" w:pos="993"/>
        </w:tabs>
        <w:ind w:left="284"/>
      </w:pPr>
      <w:r w:rsidRPr="002B0065">
        <w:rPr>
          <w:b/>
        </w:rPr>
        <w:t>2.3.</w:t>
      </w:r>
      <w:r>
        <w:t xml:space="preserve"> </w:t>
      </w:r>
      <w:r w:rsidR="00920AF0">
        <w:t>Arbejdsgiveren yde</w:t>
      </w:r>
      <w:r w:rsidR="002E23D0">
        <w:t>r</w:t>
      </w:r>
      <w:r w:rsidR="00920AF0">
        <w:t xml:space="preserve"> teknisk bistand til </w:t>
      </w:r>
      <w:r>
        <w:t xml:space="preserve">den faglige organisation </w:t>
      </w:r>
      <w:r w:rsidR="00764BDF">
        <w:t xml:space="preserve">gennem </w:t>
      </w:r>
      <w:r>
        <w:t>TR</w:t>
      </w:r>
      <w:r w:rsidR="00920AF0">
        <w:t xml:space="preserve"> i det omfang, dette er relevant og nødvendigt for, at </w:t>
      </w:r>
      <w:r>
        <w:t xml:space="preserve">den </w:t>
      </w:r>
      <w:r w:rsidR="00920AF0">
        <w:t>faglig</w:t>
      </w:r>
      <w:r>
        <w:t>e</w:t>
      </w:r>
      <w:r w:rsidR="00920AF0">
        <w:t xml:space="preserve"> organisation </w:t>
      </w:r>
      <w:r w:rsidR="00764BDF">
        <w:t xml:space="preserve">gennem </w:t>
      </w:r>
      <w:r>
        <w:t xml:space="preserve">TR </w:t>
      </w:r>
      <w:r w:rsidR="00920AF0">
        <w:t xml:space="preserve">kan efterleve forpligtelserne over for de registrerede. </w:t>
      </w:r>
    </w:p>
    <w:p w14:paraId="6E4E2A78" w14:textId="0F729FBD" w:rsidR="004E4397" w:rsidRDefault="004E4397" w:rsidP="004E4397">
      <w:pPr>
        <w:ind w:left="284"/>
      </w:pPr>
      <w:r w:rsidRPr="002B0065">
        <w:rPr>
          <w:b/>
        </w:rPr>
        <w:t>2.4.</w:t>
      </w:r>
      <w:r>
        <w:t xml:space="preserve"> Såfremt arbejdsgiveren modtager en henvendelse fra en registreret</w:t>
      </w:r>
      <w:r w:rsidR="002B0065">
        <w:t>,</w:t>
      </w:r>
      <w:r>
        <w:t xml:space="preserve"> </w:t>
      </w:r>
      <w:r w:rsidR="00C9046F">
        <w:t xml:space="preserve">bortset fra henvendelser om IT-sikkerhedsspørgsmål, </w:t>
      </w:r>
      <w:r>
        <w:t>sendes denne</w:t>
      </w:r>
      <w:r w:rsidR="00471ADB">
        <w:t xml:space="preserve"> med frigørende virkning</w:t>
      </w:r>
      <w:r>
        <w:t xml:space="preserve"> til besvarelse hos den faglige organisation uden ugrundet ophold</w:t>
      </w:r>
      <w:r w:rsidR="007873DD">
        <w:t xml:space="preserve">, jf. kontaktoplysninger </w:t>
      </w:r>
      <w:r w:rsidR="00A91790">
        <w:t xml:space="preserve">i </w:t>
      </w:r>
      <w:r w:rsidR="00AC3DBF">
        <w:t>bilag 1 til denne aftale</w:t>
      </w:r>
      <w:r w:rsidR="007873DD">
        <w:t xml:space="preserve"> </w:t>
      </w:r>
      <w:r>
        <w:t>.</w:t>
      </w:r>
      <w:r w:rsidR="0068789E">
        <w:t xml:space="preserve"> </w:t>
      </w:r>
      <w:r w:rsidR="00471ADB">
        <w:t xml:space="preserve">TR orienteres </w:t>
      </w:r>
      <w:r w:rsidR="00E45C9D">
        <w:t xml:space="preserve">så vidt muligt </w:t>
      </w:r>
      <w:r w:rsidR="00471ADB">
        <w:t xml:space="preserve">ved kopi. </w:t>
      </w:r>
    </w:p>
    <w:p w14:paraId="31A893F8" w14:textId="08E26C36" w:rsidR="004E4397" w:rsidRDefault="004E4397" w:rsidP="002B0065">
      <w:pPr>
        <w:tabs>
          <w:tab w:val="left" w:pos="993"/>
        </w:tabs>
        <w:ind w:left="284"/>
      </w:pPr>
      <w:r w:rsidRPr="002B0065">
        <w:rPr>
          <w:b/>
        </w:rPr>
        <w:t>2.5</w:t>
      </w:r>
      <w:r w:rsidR="002B0065">
        <w:rPr>
          <w:b/>
        </w:rPr>
        <w:t>.</w:t>
      </w:r>
      <w:r>
        <w:t xml:space="preserve"> </w:t>
      </w:r>
      <w:r w:rsidR="00B06B1B">
        <w:t xml:space="preserve">Den faglige organisation </w:t>
      </w:r>
      <w:r w:rsidR="00953713">
        <w:t xml:space="preserve">og </w:t>
      </w:r>
      <w:r>
        <w:t xml:space="preserve">TR behandler eventuelle klager fra registrerede, såfremt klagerne omhandler overtrædelse af bestemmelser i databeskyttelsesforordningen, som </w:t>
      </w:r>
      <w:r w:rsidR="00B06B1B">
        <w:t xml:space="preserve">den faglige organisation </w:t>
      </w:r>
      <w:r w:rsidR="00953713">
        <w:t xml:space="preserve">og </w:t>
      </w:r>
      <w:r>
        <w:t>TR er ansvarlig for</w:t>
      </w:r>
      <w:r w:rsidR="0068789E">
        <w:t xml:space="preserve"> at efterleve</w:t>
      </w:r>
      <w:r>
        <w:t>.</w:t>
      </w:r>
      <w:r w:rsidR="00E01EE4" w:rsidRPr="00E01EE4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324FE16E" w14:textId="77777777" w:rsidR="00C15A70" w:rsidRDefault="00C15A70" w:rsidP="00C15A70">
      <w:pPr>
        <w:pStyle w:val="Listeafsnit"/>
        <w:tabs>
          <w:tab w:val="left" w:pos="993"/>
        </w:tabs>
      </w:pPr>
    </w:p>
    <w:p w14:paraId="3A3E895B" w14:textId="715E0C09" w:rsidR="00920AF0" w:rsidRPr="00AB540E" w:rsidRDefault="00EF79E1" w:rsidP="002B0065">
      <w:pPr>
        <w:rPr>
          <w:b/>
        </w:rPr>
      </w:pPr>
      <w:r>
        <w:rPr>
          <w:b/>
        </w:rPr>
        <w:t xml:space="preserve">3. </w:t>
      </w:r>
      <w:r w:rsidR="00920AF0" w:rsidRPr="00AB540E">
        <w:rPr>
          <w:b/>
        </w:rPr>
        <w:t>Behandlingssikkerhed og dokumentation for overholdelse</w:t>
      </w:r>
      <w:r w:rsidR="00920AF0">
        <w:rPr>
          <w:b/>
        </w:rPr>
        <w:t xml:space="preserve"> af databeskyttelsesforordningen</w:t>
      </w:r>
      <w:r w:rsidR="00920AF0" w:rsidRPr="00AB540E">
        <w:rPr>
          <w:b/>
        </w:rPr>
        <w:t xml:space="preserve"> </w:t>
      </w:r>
    </w:p>
    <w:p w14:paraId="3797B3FA" w14:textId="4000ACDB" w:rsidR="00E26ACF" w:rsidRDefault="004A595F" w:rsidP="002B0065">
      <w:pPr>
        <w:tabs>
          <w:tab w:val="left" w:pos="993"/>
        </w:tabs>
        <w:ind w:left="284"/>
      </w:pPr>
      <w:r w:rsidRPr="002B0065">
        <w:rPr>
          <w:b/>
        </w:rPr>
        <w:t>3.1.</w:t>
      </w:r>
      <w:r>
        <w:t xml:space="preserve"> </w:t>
      </w:r>
      <w:r w:rsidR="002E23D0">
        <w:t>Arbejdgiveren foretage</w:t>
      </w:r>
      <w:r w:rsidR="009C40C6">
        <w:t>r</w:t>
      </w:r>
      <w:r w:rsidR="002E23D0">
        <w:t xml:space="preserve"> passende tekniske og organisatoriske foranstaltninger for at sikre et sikkerhedsniveau, der tager højde for de tekniske risici forbundet med behandlingen</w:t>
      </w:r>
      <w:r w:rsidR="009C40C6">
        <w:t>, jf. databeskyttelsesforordningens artikel 32</w:t>
      </w:r>
      <w:r w:rsidR="002E23D0">
        <w:t xml:space="preserve">. Sikkerhedsniveauet </w:t>
      </w:r>
      <w:r w:rsidR="00A56512">
        <w:t>er det samme,</w:t>
      </w:r>
      <w:r w:rsidR="002E23D0">
        <w:t xml:space="preserve"> som gælder for tilsvarende behandling af personoplysninger, som finder sted i </w:t>
      </w:r>
      <w:r w:rsidR="009C40C6">
        <w:t>arbejdsgivers personaleadministration</w:t>
      </w:r>
      <w:r w:rsidR="00D04489">
        <w:t>.</w:t>
      </w:r>
      <w:r w:rsidR="009C40C6" w:rsidRPr="009C40C6">
        <w:t xml:space="preserve"> </w:t>
      </w:r>
    </w:p>
    <w:p w14:paraId="4BE2D112" w14:textId="41AF7D5C" w:rsidR="00215FA0" w:rsidRDefault="003808E5" w:rsidP="002B0065">
      <w:pPr>
        <w:tabs>
          <w:tab w:val="left" w:pos="993"/>
        </w:tabs>
        <w:ind w:left="284"/>
      </w:pPr>
      <w:r w:rsidRPr="002B0065">
        <w:rPr>
          <w:b/>
        </w:rPr>
        <w:t>3.2</w:t>
      </w:r>
      <w:r w:rsidR="002B0065">
        <w:rPr>
          <w:b/>
        </w:rPr>
        <w:t>.</w:t>
      </w:r>
      <w:r>
        <w:t xml:space="preserve"> </w:t>
      </w:r>
      <w:r w:rsidR="00E26ACF">
        <w:t>T</w:t>
      </w:r>
      <w:r>
        <w:t xml:space="preserve">illidsrepræsentantens </w:t>
      </w:r>
      <w:r w:rsidR="00E26ACF" w:rsidRPr="00E26ACF">
        <w:t xml:space="preserve">anvendelse af arbejdspladsens </w:t>
      </w:r>
      <w:r w:rsidR="00AD06B4">
        <w:t>IT-</w:t>
      </w:r>
      <w:r>
        <w:t>udstyr</w:t>
      </w:r>
      <w:r w:rsidR="002433EC">
        <w:t xml:space="preserve"> og</w:t>
      </w:r>
      <w:r w:rsidR="00B478F5">
        <w:t xml:space="preserve"> det</w:t>
      </w:r>
      <w:r w:rsidR="002433EC">
        <w:t xml:space="preserve"> IT-system</w:t>
      </w:r>
      <w:r w:rsidR="00574F76">
        <w:t>/</w:t>
      </w:r>
      <w:r w:rsidR="00B478F5">
        <w:t xml:space="preserve">de </w:t>
      </w:r>
      <w:r w:rsidR="00574F76">
        <w:t xml:space="preserve">IT-systemer, som </w:t>
      </w:r>
      <w:r w:rsidR="00B478F5">
        <w:t>arbejdsgiver har</w:t>
      </w:r>
      <w:r w:rsidR="00574F76">
        <w:t xml:space="preserve"> stillet til rådighed </w:t>
      </w:r>
      <w:r w:rsidR="00B478F5">
        <w:t>for tillidsrepræsentanten</w:t>
      </w:r>
      <w:r w:rsidR="00574F76">
        <w:t>,</w:t>
      </w:r>
      <w:r w:rsidRPr="00E26ACF">
        <w:t xml:space="preserve"> </w:t>
      </w:r>
      <w:r w:rsidR="00E26ACF" w:rsidRPr="00E26ACF">
        <w:t xml:space="preserve">sker på de generelle betingelser vedrørende sikkerhed, som arbejdsgiveren har fastsat, og som gælder for alle ansatte for så vidt de pågældende foranstaltninger er nødvendige for at beskytte datasikkerheden i arbejdsgivers </w:t>
      </w:r>
      <w:r w:rsidR="007B3C39">
        <w:t>IT</w:t>
      </w:r>
      <w:r w:rsidR="00E26ACF" w:rsidRPr="00E26ACF">
        <w:t xml:space="preserve">-infrastruktur, herunder i relevant omfang </w:t>
      </w:r>
      <w:r w:rsidR="0013409A">
        <w:t xml:space="preserve">den </w:t>
      </w:r>
      <w:r w:rsidR="00E26ACF" w:rsidRPr="00E26ACF">
        <w:t xml:space="preserve">generelle </w:t>
      </w:r>
      <w:r w:rsidR="007B3C39">
        <w:t>IT</w:t>
      </w:r>
      <w:r w:rsidR="00E26ACF" w:rsidRPr="00E26ACF">
        <w:t>-sikkerhedspolitik</w:t>
      </w:r>
      <w:r w:rsidR="0013409A">
        <w:t xml:space="preserve"> som arbejdsgiveren har fastlagt.</w:t>
      </w:r>
      <w:r w:rsidR="00E26ACF" w:rsidRPr="00E26ACF">
        <w:t xml:space="preserve"> </w:t>
      </w:r>
      <w:r w:rsidR="002C42DA">
        <w:t xml:space="preserve">Såfremt </w:t>
      </w:r>
      <w:r w:rsidR="009B37D4">
        <w:t xml:space="preserve">den </w:t>
      </w:r>
      <w:r w:rsidR="002C42DA">
        <w:t>faglig</w:t>
      </w:r>
      <w:r w:rsidR="009B37D4">
        <w:t>e</w:t>
      </w:r>
      <w:r w:rsidR="002C42DA">
        <w:t xml:space="preserve"> organisations organisatoriske og tekniske foranstaltninger måtte være uforenelige med relevante dele af arbejdsgivers generelle IT-sikkerhedspolitik, jf. pkt. 2.2, skal </w:t>
      </w:r>
      <w:r w:rsidR="004D2388">
        <w:t>TR</w:t>
      </w:r>
      <w:r w:rsidR="002C42DA">
        <w:t xml:space="preserve"> følge arbejdsgivers generelle IT-sikkerhedspolitik. </w:t>
      </w:r>
      <w:r w:rsidR="006515BD">
        <w:t xml:space="preserve">Den dataansvarlige må </w:t>
      </w:r>
      <w:r w:rsidR="00770BCC">
        <w:t xml:space="preserve">i øvrigt </w:t>
      </w:r>
      <w:r w:rsidR="006515BD">
        <w:t>foretage vurderingen af formål, saglighed og relevans inden for IT-sikkerhedspolitikken.</w:t>
      </w:r>
      <w:r w:rsidR="00693EEC" w:rsidRPr="00693EEC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166D7B79" w14:textId="1583F1B9" w:rsidR="003808E5" w:rsidRDefault="003808E5" w:rsidP="00A557E6">
      <w:pPr>
        <w:tabs>
          <w:tab w:val="left" w:pos="993"/>
        </w:tabs>
        <w:ind w:left="284"/>
      </w:pPr>
      <w:r w:rsidRPr="002B0065">
        <w:rPr>
          <w:b/>
        </w:rPr>
        <w:t>3.3.</w:t>
      </w:r>
      <w:r>
        <w:t xml:space="preserve"> </w:t>
      </w:r>
      <w:r w:rsidR="00D666DB">
        <w:t xml:space="preserve">Arbejdsgiver </w:t>
      </w:r>
      <w:r w:rsidR="002A4519">
        <w:t xml:space="preserve">kan </w:t>
      </w:r>
      <w:r w:rsidR="00D666DB">
        <w:t xml:space="preserve">som led i kommunens/regionens almindelige beføjelser som offentlig myndighed ved afværgning af kritiske angreb på kommunens/regionens </w:t>
      </w:r>
      <w:r w:rsidR="002B0065">
        <w:t>IT</w:t>
      </w:r>
      <w:r w:rsidR="00D666DB">
        <w:t>-system</w:t>
      </w:r>
      <w:r w:rsidR="00916B38">
        <w:t>er</w:t>
      </w:r>
      <w:r w:rsidR="00D666DB">
        <w:t xml:space="preserve"> tilgå alle dele af </w:t>
      </w:r>
      <w:r w:rsidR="00AE69B8">
        <w:t>disse</w:t>
      </w:r>
      <w:r w:rsidR="006515BD">
        <w:t xml:space="preserve"> </w:t>
      </w:r>
      <w:r w:rsidR="00D666DB">
        <w:t xml:space="preserve">systemer, hvis dette er påkrævet af </w:t>
      </w:r>
      <w:r w:rsidR="002B0065">
        <w:t>IT</w:t>
      </w:r>
      <w:r w:rsidR="00D666DB">
        <w:t>-</w:t>
      </w:r>
      <w:r>
        <w:t xml:space="preserve">sikkerhedsmæssige </w:t>
      </w:r>
      <w:r w:rsidR="00D666DB">
        <w:t xml:space="preserve">grunde.  </w:t>
      </w:r>
    </w:p>
    <w:p w14:paraId="6E8792AE" w14:textId="06CE71ED" w:rsidR="00D666DB" w:rsidRDefault="003808E5" w:rsidP="00A557E6">
      <w:pPr>
        <w:pStyle w:val="Listeafsnit"/>
        <w:ind w:left="284"/>
      </w:pPr>
      <w:r>
        <w:lastRenderedPageBreak/>
        <w:t xml:space="preserve">Arbejdsgiver må alene tilgå de </w:t>
      </w:r>
      <w:r w:rsidR="00E44BB3">
        <w:t xml:space="preserve">TR-relaterede </w:t>
      </w:r>
      <w:r>
        <w:t xml:space="preserve">personoplysninger, </w:t>
      </w:r>
      <w:r w:rsidR="009B4C33">
        <w:t>som</w:t>
      </w:r>
      <w:r>
        <w:t xml:space="preserve"> </w:t>
      </w:r>
      <w:r w:rsidR="009B4C33">
        <w:t xml:space="preserve">tillidsrepræsentanten </w:t>
      </w:r>
      <w:r w:rsidR="004E674A">
        <w:t xml:space="preserve">behandler </w:t>
      </w:r>
      <w:r w:rsidR="008D7C2B">
        <w:t>i</w:t>
      </w:r>
      <w:r w:rsidR="00E44BB3">
        <w:t xml:space="preserve"> arbejdsgivers </w:t>
      </w:r>
      <w:r w:rsidR="00916B38">
        <w:t>IT-system/</w:t>
      </w:r>
      <w:r w:rsidR="00E44BB3">
        <w:t>IT-</w:t>
      </w:r>
      <w:r w:rsidR="008D7C2B">
        <w:t>systemer</w:t>
      </w:r>
      <w:r w:rsidR="00E44BB3">
        <w:t>, jf. pkt. 1.2</w:t>
      </w:r>
      <w:r w:rsidR="008D7C2B">
        <w:t>.</w:t>
      </w:r>
      <w:r>
        <w:t>, hvis IT-sikkerhedsmæssige forhold fordrer dette, således at fortroligheden ikke undermineres. Arbejdsgiver</w:t>
      </w:r>
      <w:r w:rsidR="00D666DB">
        <w:t xml:space="preserve"> vil </w:t>
      </w:r>
      <w:r>
        <w:t xml:space="preserve"> </w:t>
      </w:r>
      <w:r w:rsidR="00D666DB">
        <w:t xml:space="preserve">ikke </w:t>
      </w:r>
      <w:r w:rsidR="00BA082C">
        <w:t>have behov for</w:t>
      </w:r>
      <w:r w:rsidR="00D666DB">
        <w:t xml:space="preserve"> at foretage gennemlæsning af oplysninger, men </w:t>
      </w:r>
      <w:r w:rsidR="005C4633">
        <w:t>arbejdsgivers</w:t>
      </w:r>
      <w:r w:rsidR="00D666DB">
        <w:t xml:space="preserve"> </w:t>
      </w:r>
      <w:r w:rsidR="00AD06B4">
        <w:t>IT</w:t>
      </w:r>
      <w:r w:rsidR="00D666DB">
        <w:t xml:space="preserve">-afdeling eller ekstern </w:t>
      </w:r>
      <w:r w:rsidR="00AD06B4">
        <w:t>IT</w:t>
      </w:r>
      <w:r w:rsidR="00D666DB">
        <w:t xml:space="preserve">-bistand vil alene </w:t>
      </w:r>
      <w:r w:rsidR="00BA082C">
        <w:t>have behov for</w:t>
      </w:r>
      <w:r w:rsidR="00D666DB">
        <w:t xml:space="preserve"> systemteknisk at tilgå </w:t>
      </w:r>
      <w:r w:rsidR="005C4633">
        <w:t>personoplysningerne</w:t>
      </w:r>
      <w:r w:rsidR="00D666DB">
        <w:t xml:space="preserve">, herunder eventuelt enkelte mails, der som følge af vira eller andet udgør (en del af) angrebet på </w:t>
      </w:r>
      <w:r w:rsidR="005C4633">
        <w:t>arbejdsgiver</w:t>
      </w:r>
      <w:r w:rsidR="00D666DB">
        <w:t xml:space="preserve">s system, for at sikre, at der ikke sker et systemnedbrud. </w:t>
      </w:r>
      <w:r w:rsidR="000C510A">
        <w:t xml:space="preserve"> </w:t>
      </w:r>
    </w:p>
    <w:p w14:paraId="084F5C3C" w14:textId="60C21386" w:rsidR="00D62685" w:rsidRPr="00394AD7" w:rsidRDefault="00D62685" w:rsidP="00D62685">
      <w:pPr>
        <w:tabs>
          <w:tab w:val="left" w:pos="993"/>
        </w:tabs>
        <w:ind w:left="284"/>
      </w:pPr>
      <w:r>
        <w:rPr>
          <w:b/>
        </w:rPr>
        <w:t xml:space="preserve">3.4. </w:t>
      </w:r>
      <w:r>
        <w:t>Hvis håndtering af brud på datasikkerheden eller en mistanke om brud på datasikkerheden medfører, at arbejdsgiver</w:t>
      </w:r>
      <w:r w:rsidR="005365E1">
        <w:t xml:space="preserve"> i forbindelse med tilgangen til </w:t>
      </w:r>
      <w:r w:rsidR="00EC24C8">
        <w:t>IT</w:t>
      </w:r>
      <w:r w:rsidR="005365E1">
        <w:t xml:space="preserve">-systemer jf. pkt. 3.3., </w:t>
      </w:r>
      <w:r>
        <w:t>får adgang til de personoplysninger, som tillidsrepræsentanten behandler som led i sit hverv, skal arbejdsgiveren underrette den faglige organisation</w:t>
      </w:r>
      <w:r w:rsidR="005365E1">
        <w:t xml:space="preserve"> uden ugrundet ophold. TR orienteres </w:t>
      </w:r>
      <w:r w:rsidR="00A91790">
        <w:t xml:space="preserve">så vidt muligt </w:t>
      </w:r>
      <w:r w:rsidR="005365E1">
        <w:t>ved kopi</w:t>
      </w:r>
      <w:r>
        <w:t xml:space="preserve">. </w:t>
      </w:r>
    </w:p>
    <w:p w14:paraId="062DA360" w14:textId="77777777" w:rsidR="002E23D0" w:rsidRDefault="002E23D0" w:rsidP="00F31321">
      <w:pPr>
        <w:pStyle w:val="Listeafsnit"/>
      </w:pPr>
    </w:p>
    <w:p w14:paraId="3A3E896B" w14:textId="503241A4" w:rsidR="00920AF0" w:rsidRPr="002B0065" w:rsidRDefault="00FC224A" w:rsidP="002B0065">
      <w:pPr>
        <w:rPr>
          <w:b/>
        </w:rPr>
      </w:pPr>
      <w:r>
        <w:rPr>
          <w:b/>
        </w:rPr>
        <w:t xml:space="preserve">4. </w:t>
      </w:r>
      <w:r w:rsidR="00920AF0" w:rsidRPr="002B0065">
        <w:rPr>
          <w:b/>
        </w:rPr>
        <w:t>Anmeldelse af brud på persondatasikkerheden til tilsynsmyndigheden</w:t>
      </w:r>
    </w:p>
    <w:p w14:paraId="3A3E896D" w14:textId="5466DC44" w:rsidR="00920AF0" w:rsidRDefault="00B40BBA" w:rsidP="00A557E6">
      <w:pPr>
        <w:tabs>
          <w:tab w:val="left" w:pos="993"/>
        </w:tabs>
        <w:ind w:left="284"/>
      </w:pPr>
      <w:r w:rsidRPr="00A557E6">
        <w:rPr>
          <w:b/>
        </w:rPr>
        <w:t>4.1.</w:t>
      </w:r>
      <w:r>
        <w:t xml:space="preserve"> </w:t>
      </w:r>
      <w:r w:rsidR="00920AF0">
        <w:t xml:space="preserve">Arbejdsgiver </w:t>
      </w:r>
      <w:r w:rsidR="00FD7454">
        <w:t>anmelder brud på datasikkerheden</w:t>
      </w:r>
      <w:r w:rsidR="002A7F24">
        <w:t>,</w:t>
      </w:r>
      <w:r w:rsidR="00FD7454">
        <w:t xml:space="preserve"> som kan henføres til </w:t>
      </w:r>
      <w:r w:rsidR="003E3701">
        <w:t xml:space="preserve">opbevaring i </w:t>
      </w:r>
      <w:r w:rsidR="00986FFF">
        <w:t>et IT-system/</w:t>
      </w:r>
      <w:r w:rsidR="00A1184E">
        <w:t>IT-systemer</w:t>
      </w:r>
      <w:r w:rsidR="00644D78">
        <w:t>, som arbejdsgiver har stillet til rådighed</w:t>
      </w:r>
      <w:r w:rsidR="00A1184E">
        <w:t>,</w:t>
      </w:r>
      <w:r w:rsidR="00644D78">
        <w:t xml:space="preserve"> </w:t>
      </w:r>
      <w:r w:rsidR="00A1184E">
        <w:t xml:space="preserve">jf. pkt. 1.2, </w:t>
      </w:r>
      <w:r w:rsidR="00FD7454">
        <w:t>til tilsynsmyndigheden, jf.</w:t>
      </w:r>
      <w:r w:rsidR="00920AF0">
        <w:t xml:space="preserve"> databeskyttelsesforordningens artikel 33</w:t>
      </w:r>
      <w:r w:rsidR="00FD7454">
        <w:t>.</w:t>
      </w:r>
      <w:r w:rsidR="00111446" w:rsidRPr="00111446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3A3E896E" w14:textId="4BBEDA24" w:rsidR="00920AF0" w:rsidRDefault="003472A4" w:rsidP="00A557E6">
      <w:pPr>
        <w:tabs>
          <w:tab w:val="left" w:pos="993"/>
        </w:tabs>
        <w:ind w:left="284"/>
      </w:pPr>
      <w:r w:rsidRPr="00A557E6">
        <w:rPr>
          <w:b/>
        </w:rPr>
        <w:t>4.2</w:t>
      </w:r>
      <w:r w:rsidR="00A557E6">
        <w:rPr>
          <w:b/>
        </w:rPr>
        <w:t>.</w:t>
      </w:r>
      <w:r>
        <w:t xml:space="preserve"> </w:t>
      </w:r>
      <w:r w:rsidR="00920AF0">
        <w:t xml:space="preserve">Arbejdsgiveren </w:t>
      </w:r>
      <w:r w:rsidR="0014018B">
        <w:t xml:space="preserve">orienterer uden </w:t>
      </w:r>
      <w:r w:rsidR="00920AF0">
        <w:t xml:space="preserve">ugrundet ophold </w:t>
      </w:r>
      <w:r w:rsidR="00471ADB">
        <w:t xml:space="preserve">og med frigørende virkning </w:t>
      </w:r>
      <w:r w:rsidR="00B06B1B">
        <w:t xml:space="preserve">den faglige organisation </w:t>
      </w:r>
      <w:r w:rsidR="00920AF0">
        <w:t xml:space="preserve">om sikkerhedsbruddet og om anmeldelsen heraf. </w:t>
      </w:r>
      <w:r w:rsidR="00111446">
        <w:t xml:space="preserve"> TR</w:t>
      </w:r>
      <w:r w:rsidR="00471ADB">
        <w:t xml:space="preserve"> orienteres </w:t>
      </w:r>
      <w:r w:rsidR="00505022">
        <w:t xml:space="preserve">så vidt muligt </w:t>
      </w:r>
      <w:r w:rsidR="00471ADB">
        <w:t>ved kopi.</w:t>
      </w:r>
      <w:r w:rsidR="00EB1ABE" w:rsidRPr="00EB1ABE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3A3E896F" w14:textId="563F4ECE" w:rsidR="00920AF0" w:rsidRDefault="003472A4" w:rsidP="00A557E6">
      <w:pPr>
        <w:tabs>
          <w:tab w:val="left" w:pos="993"/>
        </w:tabs>
        <w:ind w:left="284"/>
      </w:pPr>
      <w:r w:rsidRPr="00A557E6">
        <w:rPr>
          <w:b/>
        </w:rPr>
        <w:t>4.3.</w:t>
      </w:r>
      <w:r>
        <w:t xml:space="preserve"> </w:t>
      </w:r>
      <w:r w:rsidR="00B06B1B">
        <w:t>Den faglige organisation</w:t>
      </w:r>
      <w:r w:rsidR="00BD706A">
        <w:t xml:space="preserve"> </w:t>
      </w:r>
      <w:r w:rsidR="00AD3879">
        <w:t xml:space="preserve"> a</w:t>
      </w:r>
      <w:r w:rsidR="00920AF0">
        <w:t>nmelde</w:t>
      </w:r>
      <w:r w:rsidR="00AD3879">
        <w:t>r</w:t>
      </w:r>
      <w:r w:rsidR="00920AF0">
        <w:t xml:space="preserve"> brud på persondatasikkerheden</w:t>
      </w:r>
      <w:r w:rsidR="009D3504">
        <w:t>,</w:t>
      </w:r>
      <w:r w:rsidR="00920AF0">
        <w:t xml:space="preserve"> </w:t>
      </w:r>
      <w:r w:rsidR="00A907C1">
        <w:t xml:space="preserve">som beror på </w:t>
      </w:r>
      <w:r w:rsidR="00B06B1B">
        <w:t>den faglige organisation</w:t>
      </w:r>
      <w:r w:rsidR="00394AD7">
        <w:t>s</w:t>
      </w:r>
      <w:r w:rsidR="00B06B1B">
        <w:t xml:space="preserve"> </w:t>
      </w:r>
      <w:r w:rsidR="00A907C1">
        <w:t xml:space="preserve">dataansvar – d.v.s. alle brud bortset fra </w:t>
      </w:r>
      <w:r w:rsidR="006A610F">
        <w:t>brud</w:t>
      </w:r>
      <w:r w:rsidR="00D62685">
        <w:t xml:space="preserve"> omfattet af</w:t>
      </w:r>
      <w:r w:rsidR="006A610F">
        <w:t xml:space="preserve"> </w:t>
      </w:r>
      <w:r w:rsidR="00A907C1">
        <w:t xml:space="preserve">pkt. </w:t>
      </w:r>
      <w:r>
        <w:t>4</w:t>
      </w:r>
      <w:r w:rsidR="00A907C1">
        <w:t>.1</w:t>
      </w:r>
      <w:r w:rsidR="00AD3879">
        <w:t>.</w:t>
      </w:r>
      <w:r w:rsidR="006A610F">
        <w:t xml:space="preserve"> </w:t>
      </w:r>
    </w:p>
    <w:p w14:paraId="2D2DC544" w14:textId="12C65575" w:rsidR="00A00FAB" w:rsidRDefault="00A00FAB" w:rsidP="00A00FAB">
      <w:pPr>
        <w:tabs>
          <w:tab w:val="left" w:pos="993"/>
        </w:tabs>
        <w:ind w:left="284"/>
      </w:pPr>
      <w:r w:rsidRPr="00505022">
        <w:rPr>
          <w:b/>
        </w:rPr>
        <w:t xml:space="preserve">4.4. </w:t>
      </w:r>
      <w:r w:rsidRPr="00505022">
        <w:t>Arbejdsgiveren</w:t>
      </w:r>
      <w:r w:rsidRPr="001E6CD1">
        <w:t xml:space="preserve"> yder teknisk bistand til den faglige organisation gennem TR i det omfang, dette er relevant og nødvendigt for, at den faglige organisation kan foretage </w:t>
      </w:r>
      <w:r w:rsidR="00AC3DBF" w:rsidRPr="001E6CD1">
        <w:t>anmeldelse</w:t>
      </w:r>
      <w:r w:rsidRPr="001E6CD1">
        <w:t xml:space="preserve"> af et eventuelt brud</w:t>
      </w:r>
      <w:r w:rsidR="00AC3DBF" w:rsidRPr="001E6CD1">
        <w:t>, jf. pkt. 4.3</w:t>
      </w:r>
      <w:r w:rsidRPr="001E6CD1">
        <w:t>.</w:t>
      </w:r>
      <w:r w:rsidRPr="00F746DB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55BF187D" w14:textId="4FF591BA" w:rsidR="00A00FAB" w:rsidRPr="00A00FAB" w:rsidRDefault="00A00FAB" w:rsidP="00A557E6">
      <w:pPr>
        <w:tabs>
          <w:tab w:val="left" w:pos="993"/>
        </w:tabs>
        <w:ind w:left="284"/>
        <w:rPr>
          <w:bCs/>
        </w:rPr>
      </w:pPr>
    </w:p>
    <w:p w14:paraId="20CD535F" w14:textId="77777777" w:rsidR="00AD3879" w:rsidRDefault="00AD3879" w:rsidP="00AD3879">
      <w:pPr>
        <w:pStyle w:val="Listeafsnit"/>
      </w:pPr>
    </w:p>
    <w:p w14:paraId="3A3E8971" w14:textId="50824D8C" w:rsidR="00920AF0" w:rsidRPr="001915A8" w:rsidRDefault="00FE4C9A" w:rsidP="00A557E6">
      <w:r>
        <w:rPr>
          <w:b/>
        </w:rPr>
        <w:t xml:space="preserve">5. </w:t>
      </w:r>
      <w:r w:rsidR="00920AF0" w:rsidRPr="001915A8">
        <w:rPr>
          <w:b/>
        </w:rPr>
        <w:t>Underretning om brud på persondatasikkerheden til den registrerede</w:t>
      </w:r>
      <w:r w:rsidR="00920AF0">
        <w:rPr>
          <w:b/>
        </w:rPr>
        <w:br/>
      </w:r>
    </w:p>
    <w:p w14:paraId="6E0DEF36" w14:textId="698DE204" w:rsidR="001D2057" w:rsidRDefault="00FE4C9A" w:rsidP="00A557E6">
      <w:pPr>
        <w:tabs>
          <w:tab w:val="left" w:pos="993"/>
        </w:tabs>
        <w:ind w:left="284"/>
      </w:pPr>
      <w:bookmarkStart w:id="0" w:name="_Hlk13045237"/>
      <w:r w:rsidRPr="00A557E6">
        <w:rPr>
          <w:b/>
        </w:rPr>
        <w:t>5.1.</w:t>
      </w:r>
      <w:r w:rsidR="00EA341F">
        <w:rPr>
          <w:b/>
        </w:rPr>
        <w:t xml:space="preserve"> </w:t>
      </w:r>
      <w:r w:rsidR="00B06B1B" w:rsidRPr="00627750">
        <w:t>Den</w:t>
      </w:r>
      <w:r w:rsidR="00627750">
        <w:t xml:space="preserve"> </w:t>
      </w:r>
      <w:r w:rsidR="00920AF0">
        <w:t>faglig</w:t>
      </w:r>
      <w:r w:rsidR="00B06B1B">
        <w:t>e</w:t>
      </w:r>
      <w:r w:rsidR="00920AF0">
        <w:t xml:space="preserve"> organisation</w:t>
      </w:r>
      <w:r w:rsidR="005A0E9E">
        <w:t xml:space="preserve"> </w:t>
      </w:r>
      <w:r w:rsidR="001D2057">
        <w:t>underretter den registrerede om brud</w:t>
      </w:r>
      <w:r w:rsidR="00A907C1">
        <w:t xml:space="preserve"> omfattet af pkt. </w:t>
      </w:r>
      <w:r>
        <w:t>4</w:t>
      </w:r>
      <w:r w:rsidR="00C73CF6">
        <w:t>.</w:t>
      </w:r>
      <w:r w:rsidR="00C64A24">
        <w:t>3</w:t>
      </w:r>
      <w:r w:rsidR="00C73CF6">
        <w:t>.</w:t>
      </w:r>
      <w:r w:rsidR="001D2057">
        <w:t xml:space="preserve">, jf. </w:t>
      </w:r>
      <w:r w:rsidR="00920AF0">
        <w:t>databeskyttelsesforordningens artikel 34</w:t>
      </w:r>
      <w:r w:rsidR="001D2057">
        <w:t>.</w:t>
      </w:r>
      <w:r w:rsidR="00A907C1">
        <w:t xml:space="preserve"> Desuden underretter </w:t>
      </w:r>
      <w:r w:rsidR="00B06B1B">
        <w:t xml:space="preserve">den </w:t>
      </w:r>
      <w:r w:rsidR="00A907C1">
        <w:t>faglig</w:t>
      </w:r>
      <w:r w:rsidR="00B06B1B">
        <w:t>e</w:t>
      </w:r>
      <w:r w:rsidR="00A907C1">
        <w:t xml:space="preserve"> organisation</w:t>
      </w:r>
      <w:r w:rsidR="00CD3611">
        <w:t xml:space="preserve"> </w:t>
      </w:r>
      <w:r w:rsidR="00A907C1">
        <w:t xml:space="preserve">– i henhold til denne aftale - den registrerede om brud, som </w:t>
      </w:r>
      <w:r w:rsidR="00B06B1B">
        <w:t xml:space="preserve">den faglige organisation </w:t>
      </w:r>
      <w:r w:rsidR="00A907C1">
        <w:t xml:space="preserve">er blevet informeret om, jf. pkt. </w:t>
      </w:r>
      <w:r>
        <w:t>4</w:t>
      </w:r>
      <w:r w:rsidR="00A907C1">
        <w:t>.</w:t>
      </w:r>
      <w:r w:rsidR="00EB1ABE">
        <w:t>2</w:t>
      </w:r>
      <w:r w:rsidR="00A907C1">
        <w:t>.</w:t>
      </w:r>
      <w:r w:rsidR="00C73CF6">
        <w:t xml:space="preserve"> </w:t>
      </w:r>
    </w:p>
    <w:p w14:paraId="3A3E8975" w14:textId="67168389" w:rsidR="00920AF0" w:rsidRDefault="00FE4C9A" w:rsidP="00A557E6">
      <w:pPr>
        <w:tabs>
          <w:tab w:val="left" w:pos="993"/>
        </w:tabs>
        <w:ind w:left="284"/>
      </w:pPr>
      <w:r w:rsidRPr="00A557E6">
        <w:rPr>
          <w:b/>
        </w:rPr>
        <w:t>5.</w:t>
      </w:r>
      <w:r w:rsidRPr="00C64A24">
        <w:rPr>
          <w:b/>
        </w:rPr>
        <w:t>2.</w:t>
      </w:r>
      <w:r>
        <w:t xml:space="preserve"> </w:t>
      </w:r>
      <w:r w:rsidR="001D2057">
        <w:t xml:space="preserve">Arbejdsgiveren yder teknisk bistand til </w:t>
      </w:r>
      <w:r w:rsidR="00B06B1B">
        <w:t xml:space="preserve">den faglige organisation </w:t>
      </w:r>
      <w:r w:rsidR="00A937C7">
        <w:t xml:space="preserve">gennem </w:t>
      </w:r>
      <w:r w:rsidR="001D2057">
        <w:t xml:space="preserve">TR i det omfang, dette er relevant og nødvendigt for, at </w:t>
      </w:r>
      <w:r w:rsidR="00B06B1B">
        <w:t xml:space="preserve">den faglige organisation </w:t>
      </w:r>
      <w:r w:rsidR="001D2057">
        <w:t xml:space="preserve">kan </w:t>
      </w:r>
      <w:r w:rsidR="00CB13C9">
        <w:t>foretage underretning</w:t>
      </w:r>
      <w:r w:rsidR="001D2057">
        <w:t xml:space="preserve"> </w:t>
      </w:r>
      <w:r w:rsidR="00CB13C9">
        <w:t>af</w:t>
      </w:r>
      <w:r w:rsidR="001D2057">
        <w:t xml:space="preserve"> de registrerede.</w:t>
      </w:r>
      <w:bookmarkEnd w:id="0"/>
      <w:r w:rsidR="00F746DB" w:rsidRPr="00F746DB">
        <w:rPr>
          <w:rFonts w:cstheme="minorHAnsi"/>
          <w:b/>
          <w:bCs/>
          <w:color w:val="70AD47" w:themeColor="accent6"/>
          <w:sz w:val="28"/>
          <w:szCs w:val="28"/>
        </w:rPr>
        <w:t xml:space="preserve"> </w:t>
      </w:r>
    </w:p>
    <w:p w14:paraId="325F5836" w14:textId="26101FC1" w:rsidR="00394AD7" w:rsidRDefault="00394AD7" w:rsidP="00A557E6">
      <w:pPr>
        <w:rPr>
          <w:b/>
        </w:rPr>
      </w:pPr>
      <w:bookmarkStart w:id="1" w:name="_Hlk31887528"/>
    </w:p>
    <w:p w14:paraId="6915F9BF" w14:textId="6A11EDAF" w:rsidR="005B2888" w:rsidRPr="005B2888" w:rsidRDefault="00E8421B" w:rsidP="00A557E6">
      <w:pPr>
        <w:rPr>
          <w:b/>
        </w:rPr>
      </w:pPr>
      <w:r>
        <w:rPr>
          <w:b/>
        </w:rPr>
        <w:t>6</w:t>
      </w:r>
      <w:r w:rsidR="00394AD7">
        <w:rPr>
          <w:b/>
        </w:rPr>
        <w:t xml:space="preserve">. </w:t>
      </w:r>
      <w:r w:rsidR="00FE4C9A">
        <w:rPr>
          <w:b/>
        </w:rPr>
        <w:t xml:space="preserve">Håndhævelse og </w:t>
      </w:r>
      <w:r w:rsidR="00BF023A">
        <w:rPr>
          <w:b/>
        </w:rPr>
        <w:t>o</w:t>
      </w:r>
      <w:r w:rsidR="00A962B2">
        <w:rPr>
          <w:b/>
        </w:rPr>
        <w:t>psigelse</w:t>
      </w:r>
      <w:r w:rsidR="00392428">
        <w:rPr>
          <w:b/>
        </w:rPr>
        <w:t xml:space="preserve"> </w:t>
      </w:r>
      <w:r w:rsidR="00243D8A">
        <w:rPr>
          <w:b/>
        </w:rPr>
        <w:t xml:space="preserve"> </w:t>
      </w:r>
    </w:p>
    <w:p w14:paraId="1FE970EC" w14:textId="78930C57" w:rsidR="00EA44BE" w:rsidRDefault="00E8421B" w:rsidP="00DA5723">
      <w:pPr>
        <w:tabs>
          <w:tab w:val="left" w:pos="993"/>
        </w:tabs>
        <w:ind w:left="284"/>
      </w:pPr>
      <w:r>
        <w:rPr>
          <w:b/>
        </w:rPr>
        <w:t>6</w:t>
      </w:r>
      <w:r w:rsidR="00011551">
        <w:rPr>
          <w:b/>
        </w:rPr>
        <w:t>.1.</w:t>
      </w:r>
      <w:r w:rsidR="00011551" w:rsidRPr="00B4785B">
        <w:rPr>
          <w:bCs/>
        </w:rPr>
        <w:t xml:space="preserve"> </w:t>
      </w:r>
      <w:r w:rsidR="00B4785B" w:rsidRPr="00B4785B">
        <w:rPr>
          <w:bCs/>
        </w:rPr>
        <w:t xml:space="preserve">Nærværende aftale </w:t>
      </w:r>
      <w:r w:rsidR="00011551">
        <w:t xml:space="preserve">kan </w:t>
      </w:r>
      <w:r w:rsidR="00011551" w:rsidRPr="009D323A">
        <w:t>ikke gøres til genstand for sag</w:t>
      </w:r>
      <w:r w:rsidR="00011551">
        <w:t>er</w:t>
      </w:r>
      <w:r w:rsidR="00011551" w:rsidRPr="009D323A">
        <w:t xml:space="preserve"> om fortolkning eller brud, herunder med påstand om bod, i det fagretlige system</w:t>
      </w:r>
      <w:r w:rsidR="00FE4C9A" w:rsidRPr="009D323A">
        <w:t>.</w:t>
      </w:r>
      <w:r w:rsidR="00243D8A">
        <w:t xml:space="preserve"> </w:t>
      </w:r>
    </w:p>
    <w:p w14:paraId="6B391F51" w14:textId="04D744D8" w:rsidR="005E32BF" w:rsidRDefault="00E8421B" w:rsidP="00814917">
      <w:pPr>
        <w:tabs>
          <w:tab w:val="left" w:pos="993"/>
        </w:tabs>
        <w:ind w:left="284"/>
        <w:rPr>
          <w:bCs/>
        </w:rPr>
      </w:pPr>
      <w:r>
        <w:rPr>
          <w:b/>
        </w:rPr>
        <w:lastRenderedPageBreak/>
        <w:t>6</w:t>
      </w:r>
      <w:r w:rsidR="00FE4C9A">
        <w:rPr>
          <w:b/>
        </w:rPr>
        <w:t>.</w:t>
      </w:r>
      <w:r w:rsidR="00076DB2">
        <w:rPr>
          <w:b/>
        </w:rPr>
        <w:t>2</w:t>
      </w:r>
      <w:r w:rsidR="00FE4C9A">
        <w:rPr>
          <w:b/>
        </w:rPr>
        <w:t xml:space="preserve">. </w:t>
      </w:r>
      <w:r w:rsidR="00516828">
        <w:rPr>
          <w:bCs/>
        </w:rPr>
        <w:t xml:space="preserve">Hver af parterne i nærværende aftale kan skriftligt opsige aftalen til bortfald med </w:t>
      </w:r>
      <w:r w:rsidR="002A0DA6">
        <w:rPr>
          <w:bCs/>
        </w:rPr>
        <w:t xml:space="preserve">6 </w:t>
      </w:r>
      <w:r w:rsidR="00076DB2">
        <w:rPr>
          <w:bCs/>
        </w:rPr>
        <w:t xml:space="preserve">måneders </w:t>
      </w:r>
      <w:r w:rsidR="00516828">
        <w:rPr>
          <w:bCs/>
        </w:rPr>
        <w:t>varsel til udgangen af en kalendermåned.</w:t>
      </w:r>
      <w:bookmarkEnd w:id="1"/>
      <w:r w:rsidR="00243D8A">
        <w:rPr>
          <w:bCs/>
        </w:rPr>
        <w:t xml:space="preserve"> </w:t>
      </w:r>
      <w:r w:rsidR="00350575" w:rsidRPr="00295948">
        <w:rPr>
          <w:bCs/>
        </w:rPr>
        <w:t xml:space="preserve">For </w:t>
      </w:r>
      <w:r w:rsidR="00350575" w:rsidRPr="00AE67FC">
        <w:rPr>
          <w:bCs/>
        </w:rPr>
        <w:t>parterne på organisationssiden</w:t>
      </w:r>
      <w:r w:rsidR="00350575" w:rsidRPr="00295948">
        <w:rPr>
          <w:bCs/>
        </w:rPr>
        <w:t>,</w:t>
      </w:r>
      <w:r w:rsidR="00350575">
        <w:rPr>
          <w:bCs/>
        </w:rPr>
        <w:t xml:space="preserve"> jf. bilag 1, kan opsigelse alene ske samlet</w:t>
      </w:r>
      <w:r w:rsidR="00442AC9">
        <w:rPr>
          <w:rStyle w:val="Fodnotehenvisning"/>
          <w:bCs/>
        </w:rPr>
        <w:footnoteReference w:id="5"/>
      </w:r>
      <w:r w:rsidR="00350575">
        <w:rPr>
          <w:bCs/>
        </w:rPr>
        <w:t xml:space="preserve">. </w:t>
      </w:r>
    </w:p>
    <w:p w14:paraId="289FDDFB" w14:textId="77777777" w:rsidR="005E32BF" w:rsidRDefault="005E32BF" w:rsidP="00814917">
      <w:pPr>
        <w:tabs>
          <w:tab w:val="left" w:pos="993"/>
        </w:tabs>
        <w:ind w:left="284"/>
      </w:pPr>
    </w:p>
    <w:p w14:paraId="7DCAA362" w14:textId="77777777" w:rsidR="005E32BF" w:rsidRDefault="005E32BF" w:rsidP="00814917">
      <w:pPr>
        <w:tabs>
          <w:tab w:val="left" w:pos="993"/>
        </w:tabs>
        <w:ind w:left="284"/>
      </w:pPr>
      <w:r>
        <w:t xml:space="preserve">Underskrift </w:t>
      </w:r>
    </w:p>
    <w:p w14:paraId="0B9F7ED8" w14:textId="77777777" w:rsidR="005E32BF" w:rsidRDefault="005E32BF" w:rsidP="00814917">
      <w:pPr>
        <w:pBdr>
          <w:bottom w:val="single" w:sz="6" w:space="1" w:color="auto"/>
        </w:pBdr>
        <w:tabs>
          <w:tab w:val="left" w:pos="993"/>
        </w:tabs>
        <w:ind w:left="284"/>
      </w:pPr>
    </w:p>
    <w:p w14:paraId="7FB21CBC" w14:textId="77777777" w:rsidR="005E32BF" w:rsidRDefault="005E32BF" w:rsidP="00814917">
      <w:pPr>
        <w:tabs>
          <w:tab w:val="left" w:pos="993"/>
        </w:tabs>
        <w:ind w:left="284"/>
      </w:pPr>
      <w:r>
        <w:t>For Forhandlingsfællesskabet på vegne af medlemsorganisationerne, jf. bilag 1</w:t>
      </w:r>
    </w:p>
    <w:p w14:paraId="37D99E03" w14:textId="76FEDEBC" w:rsidR="005E32BF" w:rsidRDefault="005E32BF" w:rsidP="00814917">
      <w:pPr>
        <w:tabs>
          <w:tab w:val="left" w:pos="993"/>
        </w:tabs>
        <w:ind w:left="284"/>
      </w:pPr>
    </w:p>
    <w:p w14:paraId="2AB3CEFB" w14:textId="77777777" w:rsidR="00E95126" w:rsidRDefault="00E95126" w:rsidP="00814917">
      <w:pPr>
        <w:tabs>
          <w:tab w:val="left" w:pos="993"/>
        </w:tabs>
        <w:ind w:left="284"/>
      </w:pPr>
    </w:p>
    <w:p w14:paraId="3EF39834" w14:textId="3249E4C3" w:rsidR="005E32BF" w:rsidRDefault="005E32BF" w:rsidP="00814917">
      <w:pPr>
        <w:pBdr>
          <w:bottom w:val="single" w:sz="6" w:space="1" w:color="auto"/>
        </w:pBdr>
        <w:tabs>
          <w:tab w:val="left" w:pos="993"/>
        </w:tabs>
        <w:ind w:left="284"/>
      </w:pPr>
      <w:r>
        <w:t>Underskrift</w:t>
      </w:r>
    </w:p>
    <w:p w14:paraId="57D9DE10" w14:textId="77777777" w:rsidR="005E32BF" w:rsidRDefault="005E32BF" w:rsidP="00814917">
      <w:pPr>
        <w:pBdr>
          <w:bottom w:val="single" w:sz="6" w:space="1" w:color="auto"/>
        </w:pBdr>
        <w:tabs>
          <w:tab w:val="left" w:pos="993"/>
        </w:tabs>
        <w:ind w:left="284"/>
      </w:pPr>
    </w:p>
    <w:p w14:paraId="7E97CE95" w14:textId="73277397" w:rsidR="00EF6C6B" w:rsidRDefault="005E32BF" w:rsidP="00814917">
      <w:pPr>
        <w:tabs>
          <w:tab w:val="left" w:pos="993"/>
        </w:tabs>
        <w:ind w:left="284"/>
      </w:pPr>
      <w:r>
        <w:t xml:space="preserve">For </w:t>
      </w:r>
      <w:r w:rsidR="00AD47C8" w:rsidRPr="000361B4">
        <w:rPr>
          <w:color w:val="FF0000"/>
        </w:rPr>
        <w:t>[Indsæt Kommunens/Regionens navn]</w:t>
      </w:r>
      <w:r w:rsidR="00EF6C6B">
        <w:br w:type="page"/>
      </w:r>
    </w:p>
    <w:p w14:paraId="0B2F1FC9" w14:textId="18630951" w:rsidR="004302DC" w:rsidRDefault="004302DC" w:rsidP="004302DC">
      <w:pPr>
        <w:pStyle w:val="Overskrift1"/>
      </w:pPr>
      <w:r>
        <w:lastRenderedPageBreak/>
        <w:t xml:space="preserve">Bilag 1  </w:t>
      </w:r>
    </w:p>
    <w:p w14:paraId="124E7A62" w14:textId="77777777" w:rsidR="004302DC" w:rsidRDefault="004302DC" w:rsidP="004302DC">
      <w:pPr>
        <w:pStyle w:val="Overskrift1"/>
      </w:pPr>
      <w:r>
        <w:t>Bilag til aftale om behandling af personoplysninger under anvendelse af et IT-system/IT-systemer, som arbejdsgiver har stillet til rådighed for tillidsrepræsentanten (”Aftalen”)</w:t>
      </w:r>
    </w:p>
    <w:p w14:paraId="4FE08759" w14:textId="7412DDBF" w:rsidR="004302DC" w:rsidRDefault="004302DC" w:rsidP="004302DC">
      <w:pPr>
        <w:rPr>
          <w:sz w:val="28"/>
          <w:szCs w:val="28"/>
        </w:rPr>
      </w:pPr>
    </w:p>
    <w:p w14:paraId="292E9ACA" w14:textId="3E37EE99" w:rsidR="004302DC" w:rsidRDefault="00A047F3" w:rsidP="004302DC">
      <w:pPr>
        <w:rPr>
          <w:sz w:val="28"/>
          <w:szCs w:val="28"/>
        </w:rPr>
      </w:pPr>
      <w:r>
        <w:rPr>
          <w:sz w:val="28"/>
          <w:szCs w:val="28"/>
        </w:rPr>
        <w:t>Nedenfor følger oversigt over aftalens parter</w:t>
      </w:r>
      <w:r w:rsidR="001B3B55">
        <w:rPr>
          <w:rStyle w:val="Fodnotehenvisning"/>
        </w:rPr>
        <w:footnoteReference w:id="6"/>
      </w:r>
      <w:r>
        <w:rPr>
          <w:sz w:val="28"/>
          <w:szCs w:val="28"/>
        </w:rPr>
        <w:t xml:space="preserve">, med angivelse af </w:t>
      </w:r>
      <w:r w:rsidR="005431A9">
        <w:rPr>
          <w:sz w:val="28"/>
          <w:szCs w:val="28"/>
        </w:rPr>
        <w:t>k</w:t>
      </w:r>
      <w:r w:rsidR="004302DC">
        <w:rPr>
          <w:sz w:val="28"/>
          <w:szCs w:val="28"/>
        </w:rPr>
        <w:t>ontaktoplysninger, bl.a. til brug for underretning med frigørende virkning, jf. pkt. 2.4. og pkt. 4.2.:</w:t>
      </w:r>
    </w:p>
    <w:p w14:paraId="140F5EAC" w14:textId="77777777" w:rsidR="008335E9" w:rsidRDefault="008335E9" w:rsidP="004302DC"/>
    <w:p w14:paraId="01E4FD6E" w14:textId="1393BC30" w:rsidR="004302DC" w:rsidRDefault="004302DC" w:rsidP="004302DC">
      <w:r>
        <w:t xml:space="preserve">Kommune/Region: </w:t>
      </w:r>
      <w:r w:rsidR="00AD47C8" w:rsidRPr="00AD47C8">
        <w:rPr>
          <w:color w:val="FF0000"/>
        </w:rPr>
        <w:t>[Indsæt]</w:t>
      </w:r>
    </w:p>
    <w:p w14:paraId="48DB0AA6" w14:textId="77777777" w:rsidR="004302DC" w:rsidRDefault="004302DC" w:rsidP="004302DC">
      <w:r>
        <w:t>Adresse:</w:t>
      </w:r>
    </w:p>
    <w:p w14:paraId="16346A29" w14:textId="77777777" w:rsidR="004302DC" w:rsidRDefault="004302DC" w:rsidP="004302DC">
      <w:r>
        <w:t>Postnr. og by:</w:t>
      </w:r>
    </w:p>
    <w:p w14:paraId="73D967EE" w14:textId="77777777" w:rsidR="004302DC" w:rsidRDefault="004302DC" w:rsidP="004302DC">
      <w:r>
        <w:t xml:space="preserve">Mailadresse som kan benyttes ved organisationens henvendelser til arbejdsgiver: </w:t>
      </w:r>
    </w:p>
    <w:p w14:paraId="767508C6" w14:textId="77777777" w:rsidR="004302DC" w:rsidRDefault="004302DC" w:rsidP="004302DC">
      <w:r>
        <w:t>Evt. telefonnummer:</w:t>
      </w:r>
    </w:p>
    <w:p w14:paraId="02DE82C1" w14:textId="759336D9" w:rsidR="004302DC" w:rsidRDefault="004302DC" w:rsidP="004302DC">
      <w:r>
        <w:t xml:space="preserve">CVR. nr.: </w:t>
      </w:r>
    </w:p>
    <w:p w14:paraId="3465DFF8" w14:textId="2CAFBBAF" w:rsidR="00626096" w:rsidRPr="00F36AC3" w:rsidRDefault="00626096" w:rsidP="004302DC">
      <w:pPr>
        <w:rPr>
          <w:b/>
          <w:bCs/>
        </w:rPr>
      </w:pPr>
    </w:p>
    <w:tbl>
      <w:tblPr>
        <w:tblStyle w:val="Tabel-Gitter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5A5CD4" w14:paraId="13346671" w14:textId="156574E5" w:rsidTr="005A5CD4">
        <w:trPr>
          <w:tblHeader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995D" w14:textId="191D800C" w:rsidR="005A5CD4" w:rsidRDefault="005A5CD4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  <w:r>
              <w:rPr>
                <w:rStyle w:val="Fodnotehenvisning"/>
                <w:b/>
                <w:bCs/>
              </w:rPr>
              <w:footnoteReference w:id="7"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5D94" w14:textId="77777777" w:rsidR="005A5CD4" w:rsidRDefault="005A5CD4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B39B" w14:textId="77777777" w:rsidR="005A5CD4" w:rsidRDefault="005A5CD4">
            <w:pPr>
              <w:rPr>
                <w:b/>
                <w:bCs/>
              </w:rPr>
            </w:pPr>
            <w:r>
              <w:rPr>
                <w:b/>
                <w:bCs/>
              </w:rPr>
              <w:t>Postnr. og by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2E08" w14:textId="77777777" w:rsidR="005A5CD4" w:rsidRDefault="005A5CD4">
            <w:pPr>
              <w:rPr>
                <w:b/>
                <w:bCs/>
              </w:rPr>
            </w:pPr>
            <w:r>
              <w:rPr>
                <w:b/>
                <w:bCs/>
              </w:rPr>
              <w:t>Mailadresse som kan benyttes ved arbejdsgivers underretninger efter aftalen med frigørende virkning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B1E4" w14:textId="77777777" w:rsidR="005A5CD4" w:rsidRDefault="005A5CD4">
            <w:pPr>
              <w:rPr>
                <w:b/>
                <w:bCs/>
              </w:rPr>
            </w:pPr>
            <w:r>
              <w:rPr>
                <w:b/>
                <w:bCs/>
              </w:rPr>
              <w:t>Evt. telefonnummer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2827" w14:textId="77777777" w:rsidR="005A5CD4" w:rsidRDefault="005A5CD4">
            <w:pPr>
              <w:rPr>
                <w:b/>
                <w:bCs/>
              </w:rPr>
            </w:pPr>
            <w:r>
              <w:rPr>
                <w:b/>
                <w:bCs/>
              </w:rPr>
              <w:t>CVR.nr.</w:t>
            </w:r>
          </w:p>
        </w:tc>
      </w:tr>
      <w:tr w:rsidR="005A5CD4" w14:paraId="3D6F1CF8" w14:textId="756B814C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3B5" w14:textId="6662130C" w:rsidR="005A5CD4" w:rsidRDefault="00AD47C8">
            <w:r w:rsidRPr="00AD47C8">
              <w:rPr>
                <w:color w:val="FF0000"/>
              </w:rPr>
              <w:t>[Indsæt]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B9C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5E2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A26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C61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E09" w14:textId="77777777" w:rsidR="005A5CD4" w:rsidRDefault="005A5CD4"/>
        </w:tc>
      </w:tr>
      <w:tr w:rsidR="005A5CD4" w14:paraId="7EE1022D" w14:textId="6B562715" w:rsidTr="005A5CD4">
        <w:trPr>
          <w:trHeight w:val="18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7A7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D46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BB2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4DE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43E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86E" w14:textId="77777777" w:rsidR="005A5CD4" w:rsidRDefault="005A5CD4"/>
        </w:tc>
      </w:tr>
      <w:tr w:rsidR="005A5CD4" w14:paraId="60B4F2BC" w14:textId="376A6D7A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D05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A4C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B84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BA0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D91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A1A4" w14:textId="77777777" w:rsidR="005A5CD4" w:rsidRDefault="005A5CD4"/>
        </w:tc>
      </w:tr>
      <w:tr w:rsidR="005A5CD4" w14:paraId="24565373" w14:textId="6A1CFAF1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313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E0F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B18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C2CC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E61A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CB1" w14:textId="77777777" w:rsidR="005A5CD4" w:rsidRDefault="005A5CD4"/>
        </w:tc>
      </w:tr>
      <w:tr w:rsidR="005A5CD4" w14:paraId="157CF334" w14:textId="0B84B6B0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63A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9174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CCC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91D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08F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B52" w14:textId="77777777" w:rsidR="005A5CD4" w:rsidRDefault="005A5CD4"/>
        </w:tc>
      </w:tr>
      <w:tr w:rsidR="005A5CD4" w14:paraId="1DB0DCCA" w14:textId="303C5B38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9F8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079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056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E691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2C6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791" w14:textId="77777777" w:rsidR="005A5CD4" w:rsidRDefault="005A5CD4"/>
        </w:tc>
      </w:tr>
      <w:tr w:rsidR="005A5CD4" w14:paraId="78B609DC" w14:textId="1F0C5053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62D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F72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CBF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E67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84A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4AC" w14:textId="77777777" w:rsidR="005A5CD4" w:rsidRDefault="005A5CD4"/>
        </w:tc>
      </w:tr>
      <w:tr w:rsidR="005A5CD4" w14:paraId="2C2C9F50" w14:textId="0F719AD6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2AD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DFE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645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2FF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7BD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51A" w14:textId="77777777" w:rsidR="005A5CD4" w:rsidRDefault="005A5CD4"/>
        </w:tc>
      </w:tr>
      <w:tr w:rsidR="005A5CD4" w14:paraId="63359C9D" w14:textId="271B589E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A23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265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093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6F8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3B1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0D8" w14:textId="77777777" w:rsidR="005A5CD4" w:rsidRDefault="005A5CD4"/>
        </w:tc>
      </w:tr>
      <w:tr w:rsidR="005A5CD4" w14:paraId="1DDFAF92" w14:textId="7A8C35B0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198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D4E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86B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D6BE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7DE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3868" w14:textId="77777777" w:rsidR="005A5CD4" w:rsidRDefault="005A5CD4"/>
        </w:tc>
      </w:tr>
      <w:tr w:rsidR="005A5CD4" w14:paraId="64C53B54" w14:textId="0984A7A6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A38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D25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660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3DD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798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8E8" w14:textId="77777777" w:rsidR="005A5CD4" w:rsidRDefault="005A5CD4"/>
        </w:tc>
      </w:tr>
      <w:tr w:rsidR="005A5CD4" w14:paraId="38D15F7F" w14:textId="5D4104E1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391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46D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4216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33B1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DC7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923" w14:textId="77777777" w:rsidR="005A5CD4" w:rsidRDefault="005A5CD4"/>
        </w:tc>
      </w:tr>
      <w:tr w:rsidR="005A5CD4" w14:paraId="6BD059F4" w14:textId="05EFA81F" w:rsidTr="005A5CD4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23FE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79B3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B3B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328" w14:textId="77777777" w:rsidR="005A5CD4" w:rsidRDefault="005A5CD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E97" w14:textId="77777777" w:rsidR="005A5CD4" w:rsidRDefault="005A5CD4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E27" w14:textId="77777777" w:rsidR="005A5CD4" w:rsidRDefault="005A5CD4"/>
        </w:tc>
      </w:tr>
    </w:tbl>
    <w:p w14:paraId="73F96427" w14:textId="3B42C228" w:rsidR="002D74C7" w:rsidRPr="00C9046F" w:rsidRDefault="002D74C7" w:rsidP="005A5CD4">
      <w:pPr>
        <w:pStyle w:val="Overskrift1"/>
      </w:pPr>
    </w:p>
    <w:sectPr w:rsidR="002D74C7" w:rsidRPr="00C9046F" w:rsidSect="005431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98B47" w14:textId="77777777" w:rsidR="009C421B" w:rsidRDefault="009C421B" w:rsidP="00920AF0">
      <w:pPr>
        <w:spacing w:after="0" w:line="240" w:lineRule="auto"/>
      </w:pPr>
      <w:r>
        <w:separator/>
      </w:r>
    </w:p>
  </w:endnote>
  <w:endnote w:type="continuationSeparator" w:id="0">
    <w:p w14:paraId="42936D77" w14:textId="77777777" w:rsidR="009C421B" w:rsidRDefault="009C421B" w:rsidP="00920AF0">
      <w:pPr>
        <w:spacing w:after="0" w:line="240" w:lineRule="auto"/>
      </w:pPr>
      <w:r>
        <w:continuationSeparator/>
      </w:r>
    </w:p>
  </w:endnote>
  <w:endnote w:type="continuationNotice" w:id="1">
    <w:p w14:paraId="70F60867" w14:textId="77777777" w:rsidR="009C421B" w:rsidRDefault="009C4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7731F" w14:textId="77777777" w:rsidR="006C2F8C" w:rsidRDefault="006C2F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734561"/>
      <w:docPartObj>
        <w:docPartGallery w:val="Page Numbers (Bottom of Page)"/>
        <w:docPartUnique/>
      </w:docPartObj>
    </w:sdtPr>
    <w:sdtEndPr/>
    <w:sdtContent>
      <w:p w14:paraId="185A76BC" w14:textId="711A2D75" w:rsidR="00EA3287" w:rsidRDefault="00EA3287">
        <w:pPr>
          <w:pStyle w:val="Sidefod"/>
          <w:jc w:val="right"/>
        </w:pPr>
        <w:r>
          <w:fldChar w:fldCharType="begin"/>
        </w:r>
        <w:r w:rsidR="009D0B05">
          <w:instrText>PAGE</w:instrText>
        </w:r>
        <w:r>
          <w:fldChar w:fldCharType="separate"/>
        </w:r>
        <w:r w:rsidR="002A6B58">
          <w:rPr>
            <w:noProof/>
          </w:rPr>
          <w:t>4</w:t>
        </w:r>
        <w:r>
          <w:fldChar w:fldCharType="end"/>
        </w:r>
      </w:p>
    </w:sdtContent>
  </w:sdt>
  <w:p w14:paraId="3A3E8984" w14:textId="77777777" w:rsidR="00E9760D" w:rsidRDefault="00E9760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A391" w14:textId="77777777" w:rsidR="006C2F8C" w:rsidRDefault="006C2F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90B52" w14:textId="77777777" w:rsidR="009C421B" w:rsidRDefault="009C421B" w:rsidP="00920AF0">
      <w:pPr>
        <w:spacing w:after="0" w:line="240" w:lineRule="auto"/>
      </w:pPr>
      <w:r>
        <w:separator/>
      </w:r>
    </w:p>
  </w:footnote>
  <w:footnote w:type="continuationSeparator" w:id="0">
    <w:p w14:paraId="616777BA" w14:textId="77777777" w:rsidR="009C421B" w:rsidRDefault="009C421B" w:rsidP="00920AF0">
      <w:pPr>
        <w:spacing w:after="0" w:line="240" w:lineRule="auto"/>
      </w:pPr>
      <w:r>
        <w:continuationSeparator/>
      </w:r>
    </w:p>
  </w:footnote>
  <w:footnote w:type="continuationNotice" w:id="1">
    <w:p w14:paraId="2A8C30C9" w14:textId="77777777" w:rsidR="009C421B" w:rsidRDefault="009C421B">
      <w:pPr>
        <w:spacing w:after="0" w:line="240" w:lineRule="auto"/>
      </w:pPr>
    </w:p>
  </w:footnote>
  <w:footnote w:id="2">
    <w:p w14:paraId="109346A3" w14:textId="77777777" w:rsidR="00FD0F3E" w:rsidRDefault="006A700C">
      <w:pPr>
        <w:pStyle w:val="Fodnotetekst"/>
      </w:pPr>
      <w:r>
        <w:rPr>
          <w:rStyle w:val="Fodnotehenvisning"/>
        </w:rPr>
        <w:footnoteRef/>
      </w:r>
      <w:r>
        <w:t xml:space="preserve"> Se i øvrigt følgeskrivelse </w:t>
      </w:r>
      <w:r w:rsidR="009C21F8">
        <w:t>til nærværende standardaftale</w:t>
      </w:r>
      <w:r w:rsidR="00FD0F3E">
        <w:t>:</w:t>
      </w:r>
    </w:p>
    <w:p w14:paraId="7EBDF131" w14:textId="0F604DA1" w:rsidR="00C1125B" w:rsidRDefault="00FD0F3E">
      <w:pPr>
        <w:pStyle w:val="Fodnotetekst"/>
      </w:pPr>
      <w:r>
        <w:t xml:space="preserve">KL: </w:t>
      </w:r>
      <w:hyperlink r:id="rId1" w:history="1">
        <w:r>
          <w:rPr>
            <w:rStyle w:val="Hyperlink"/>
          </w:rPr>
          <w:t>Information om forordningen (kl.dk)</w:t>
        </w:r>
      </w:hyperlink>
    </w:p>
    <w:p w14:paraId="06EC125A" w14:textId="221C835D" w:rsidR="00FD0F3E" w:rsidRDefault="00FD0F3E">
      <w:pPr>
        <w:pStyle w:val="Fodnotetekst"/>
      </w:pPr>
      <w:r>
        <w:t>Danske Regioner:</w:t>
      </w:r>
      <w:r w:rsidRPr="00FD0F3E">
        <w:t xml:space="preserve"> </w:t>
      </w:r>
      <w:hyperlink r:id="rId2" w:history="1">
        <w:r w:rsidR="005B4128">
          <w:rPr>
            <w:rStyle w:val="Hyperlink"/>
          </w:rPr>
          <w:t>Danske Regioner</w:t>
        </w:r>
      </w:hyperlink>
    </w:p>
    <w:p w14:paraId="15D6E95D" w14:textId="0E45F84B" w:rsidR="006A700C" w:rsidRDefault="00FD0F3E">
      <w:pPr>
        <w:pStyle w:val="Fodnotetekst"/>
      </w:pPr>
      <w:r>
        <w:t xml:space="preserve">Forhandlingsfællesskabet: </w:t>
      </w:r>
      <w:hyperlink r:id="rId3" w:history="1">
        <w:r w:rsidRPr="00FD0F3E">
          <w:rPr>
            <w:rStyle w:val="Hyperlink"/>
          </w:rPr>
          <w:t xml:space="preserve">Følgeskrivelse (Forhandlingsfællesskabet)  </w:t>
        </w:r>
      </w:hyperlink>
      <w:r>
        <w:t xml:space="preserve"> </w:t>
      </w:r>
    </w:p>
    <w:p w14:paraId="22F7E09C" w14:textId="77777777" w:rsidR="00FD0F3E" w:rsidRDefault="00FD0F3E">
      <w:pPr>
        <w:pStyle w:val="Fodnotetekst"/>
      </w:pPr>
    </w:p>
  </w:footnote>
  <w:footnote w:id="3">
    <w:p w14:paraId="6C49E7F6" w14:textId="6C367568" w:rsidR="00871EFA" w:rsidRDefault="00871EFA" w:rsidP="002D179E">
      <w:pPr>
        <w:pStyle w:val="Fodnotetekst"/>
        <w:ind w:left="142" w:hanging="142"/>
      </w:pPr>
      <w:r>
        <w:rPr>
          <w:rStyle w:val="Fodnotehenvisning"/>
        </w:rPr>
        <w:footnoteRef/>
      </w:r>
      <w:r>
        <w:t xml:space="preserve"> Protokollat vedrørende vilkår for (fælles)tillidsrepræsentanters tidsanvendelse i forbindelse med hvervets udførelse, bilag 5 til Rammeaftale om medindflydelse og medbestemmelse, indgået mellem KL og Forhandlingsfællesskabet og Protokollat vedrørende vilkår for (fælles)tillidsrepræsentanters tidsanvendelse i forbindelse med hvervets udførelse, bilag 9 til Rammeaftale om medindflydelse og medbestemmelse, indgået mellem RLTN og Forhandlingsfællesskabe</w:t>
      </w:r>
      <w:r w:rsidR="002D179E">
        <w:t>t.</w:t>
      </w:r>
    </w:p>
  </w:footnote>
  <w:footnote w:id="4">
    <w:p w14:paraId="43F5FA75" w14:textId="77777777" w:rsidR="00505022" w:rsidRDefault="00505022" w:rsidP="0060267D">
      <w:pPr>
        <w:pStyle w:val="Fodnotetekst"/>
        <w:ind w:left="142" w:hanging="142"/>
      </w:pPr>
    </w:p>
    <w:p w14:paraId="7809B56D" w14:textId="272B5203" w:rsidR="00A91790" w:rsidRDefault="00A91790" w:rsidP="0060267D">
      <w:pPr>
        <w:pStyle w:val="Fodnotetekst"/>
        <w:ind w:left="142" w:hanging="142"/>
      </w:pPr>
      <w:r>
        <w:rPr>
          <w:rStyle w:val="Fodnotehenvisning"/>
        </w:rPr>
        <w:footnoteRef/>
      </w:r>
      <w:r>
        <w:t xml:space="preserve"> Aftalen gælder for et IT-system/IT-systemer, som er stillet til rådighed</w:t>
      </w:r>
      <w:r w:rsidR="00C5618E">
        <w:t xml:space="preserve"> for TR</w:t>
      </w:r>
      <w:r>
        <w:t xml:space="preserve"> på grundlag af en konkret instruks/anden retningslinje fra arbejdsgiver eller </w:t>
      </w:r>
      <w:r w:rsidR="00C5618E">
        <w:t>ved</w:t>
      </w:r>
      <w:r>
        <w:t xml:space="preserve"> lokal praksis</w:t>
      </w:r>
      <w:r w:rsidR="002075A3">
        <w:t xml:space="preserve"> eller aftale</w:t>
      </w:r>
      <w:r>
        <w:t>.</w:t>
      </w:r>
    </w:p>
  </w:footnote>
  <w:footnote w:id="5">
    <w:p w14:paraId="5178CF89" w14:textId="479E7353" w:rsidR="00442AC9" w:rsidRDefault="00442AC9">
      <w:pPr>
        <w:pStyle w:val="Fodnotetekst"/>
      </w:pPr>
      <w:r>
        <w:rPr>
          <w:rStyle w:val="Fodnotehenvisning"/>
        </w:rPr>
        <w:footnoteRef/>
      </w:r>
      <w:r>
        <w:t xml:space="preserve"> Opsigelsen sker formelt, ved at Forhandlingsfællesskabet fremsender en opsigelse til kommunen/regionen.</w:t>
      </w:r>
    </w:p>
  </w:footnote>
  <w:footnote w:id="6">
    <w:p w14:paraId="6233374D" w14:textId="356DBD49" w:rsidR="002B33C6" w:rsidRDefault="001B3B55" w:rsidP="002B33C6">
      <w:pPr>
        <w:pStyle w:val="Fodnotetekst"/>
        <w:spacing w:after="120"/>
      </w:pPr>
      <w:r>
        <w:rPr>
          <w:rStyle w:val="Fodnotehenvisning"/>
        </w:rPr>
        <w:footnoteRef/>
      </w:r>
      <w:r>
        <w:t xml:space="preserve"> Forhandlingsfællesskabets forudgående tiltrædelse af standardaftalen på vegne af sine medlemsorganisationer </w:t>
      </w:r>
      <w:r w:rsidR="008855DA">
        <w:t xml:space="preserve">er </w:t>
      </w:r>
      <w:r>
        <w:t xml:space="preserve">alene gældende, </w:t>
      </w:r>
      <w:r w:rsidR="008855DA">
        <w:t xml:space="preserve">såfremt kommunen/regionen indgår aftalen </w:t>
      </w:r>
      <w:r>
        <w:t xml:space="preserve">lokalt som én samlet aftale, gældende for alle de organisationer under Forhandlingsfællesskabet, som er forhandlingsberettiget organisation ift. ansatte i kommunen/regionen. </w:t>
      </w:r>
    </w:p>
    <w:p w14:paraId="7C3AD5EE" w14:textId="6D030031" w:rsidR="001B3B55" w:rsidRPr="00095DAF" w:rsidRDefault="001B3B55" w:rsidP="00505022">
      <w:pPr>
        <w:pStyle w:val="Fodnotetekst"/>
        <w:spacing w:after="120"/>
      </w:pPr>
      <w:r>
        <w:t xml:space="preserve">Såfremt en kommune/region ikke finder, at der kan indgås én samlet aftale for hele kommunen/regionen, vil </w:t>
      </w:r>
      <w:r w:rsidR="00B655BF">
        <w:t>der lokalt skulle optages drøftelse om indgåelse af en aftale mellem kommunen/regionen og de relevante organisationer. Enhver ændring i</w:t>
      </w:r>
      <w:r w:rsidR="002B33C6">
        <w:t>/tilføjelse til</w:t>
      </w:r>
      <w:r w:rsidR="00B655BF">
        <w:t xml:space="preserve"> standardaftalens pkt. 1-6 vil ligeledes medføre, at den lokale aftale skal betragtes som </w:t>
      </w:r>
      <w:r w:rsidR="00B655BF" w:rsidRPr="002B33C6">
        <w:t>en anden aftale</w:t>
      </w:r>
      <w:r w:rsidR="00B655BF">
        <w:t>, og der skal i så fald optages lokal forhandling med den/de relevante organisationer</w:t>
      </w:r>
      <w:r w:rsidR="004F1410">
        <w:t>.</w:t>
      </w:r>
      <w:r w:rsidR="002B33C6">
        <w:t xml:space="preserve"> </w:t>
      </w:r>
      <w:r w:rsidR="004F1410">
        <w:t>I</w:t>
      </w:r>
      <w:r w:rsidR="00B655BF">
        <w:t xml:space="preserve"> nødvendigt omfang indhentes særskilt vejledning/rådgivning fra Datatilsynet.</w:t>
      </w:r>
    </w:p>
  </w:footnote>
  <w:footnote w:id="7">
    <w:p w14:paraId="1BC5FE0A" w14:textId="730CD8C5" w:rsidR="005A5CD4" w:rsidRPr="005431A9" w:rsidRDefault="005A5CD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5431A9">
        <w:t xml:space="preserve">Oversigt over Forhandlingsfællesskabets medlemsorganisationer findes i bilag til følgeskrivelsen.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B7877" w14:textId="77777777" w:rsidR="006C2F8C" w:rsidRDefault="006C2F8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7F830" w14:textId="77777777" w:rsidR="006C2F8C" w:rsidRDefault="006C2F8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0E7E9" w14:textId="77777777" w:rsidR="006C2F8C" w:rsidRDefault="006C2F8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84CDD"/>
    <w:multiLevelType w:val="hybridMultilevel"/>
    <w:tmpl w:val="BE600486"/>
    <w:lvl w:ilvl="0" w:tplc="751ADC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374A"/>
    <w:multiLevelType w:val="hybridMultilevel"/>
    <w:tmpl w:val="8092C5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926D1"/>
    <w:multiLevelType w:val="multilevel"/>
    <w:tmpl w:val="89E8F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5FB6410"/>
    <w:multiLevelType w:val="hybridMultilevel"/>
    <w:tmpl w:val="8736B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04ED"/>
    <w:multiLevelType w:val="hybridMultilevel"/>
    <w:tmpl w:val="37763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D3CD6"/>
    <w:multiLevelType w:val="multilevel"/>
    <w:tmpl w:val="43E877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7696B7E"/>
    <w:multiLevelType w:val="hybridMultilevel"/>
    <w:tmpl w:val="36C6B750"/>
    <w:lvl w:ilvl="0" w:tplc="2A685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33FA0"/>
    <w:multiLevelType w:val="hybridMultilevel"/>
    <w:tmpl w:val="5BD0BC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revisionView w:inkAnnotations="0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F0"/>
    <w:rsid w:val="0000142C"/>
    <w:rsid w:val="000106D4"/>
    <w:rsid w:val="00011551"/>
    <w:rsid w:val="00014C6F"/>
    <w:rsid w:val="00020891"/>
    <w:rsid w:val="00022710"/>
    <w:rsid w:val="00023B78"/>
    <w:rsid w:val="000361B4"/>
    <w:rsid w:val="00041A9A"/>
    <w:rsid w:val="000427DB"/>
    <w:rsid w:val="00050EFB"/>
    <w:rsid w:val="0005205D"/>
    <w:rsid w:val="00056CEC"/>
    <w:rsid w:val="00061ED7"/>
    <w:rsid w:val="000701D7"/>
    <w:rsid w:val="000708EE"/>
    <w:rsid w:val="000754A5"/>
    <w:rsid w:val="00076DB2"/>
    <w:rsid w:val="00076DD5"/>
    <w:rsid w:val="00092FA5"/>
    <w:rsid w:val="000947FF"/>
    <w:rsid w:val="00095DAF"/>
    <w:rsid w:val="000A018F"/>
    <w:rsid w:val="000A14C5"/>
    <w:rsid w:val="000C510A"/>
    <w:rsid w:val="000C7059"/>
    <w:rsid w:val="000D08C6"/>
    <w:rsid w:val="000D5F89"/>
    <w:rsid w:val="000D6411"/>
    <w:rsid w:val="000E4013"/>
    <w:rsid w:val="001000B7"/>
    <w:rsid w:val="001112D8"/>
    <w:rsid w:val="00111446"/>
    <w:rsid w:val="0011333F"/>
    <w:rsid w:val="001144D0"/>
    <w:rsid w:val="00115559"/>
    <w:rsid w:val="00120581"/>
    <w:rsid w:val="00123813"/>
    <w:rsid w:val="00127534"/>
    <w:rsid w:val="00130E94"/>
    <w:rsid w:val="001316AB"/>
    <w:rsid w:val="0013409A"/>
    <w:rsid w:val="0014018B"/>
    <w:rsid w:val="001461AD"/>
    <w:rsid w:val="00146BB4"/>
    <w:rsid w:val="00150F39"/>
    <w:rsid w:val="00160C52"/>
    <w:rsid w:val="0016174D"/>
    <w:rsid w:val="00165273"/>
    <w:rsid w:val="001656D7"/>
    <w:rsid w:val="001703FB"/>
    <w:rsid w:val="00175FE9"/>
    <w:rsid w:val="00176DFF"/>
    <w:rsid w:val="0017752C"/>
    <w:rsid w:val="00182F63"/>
    <w:rsid w:val="0018773F"/>
    <w:rsid w:val="001902D1"/>
    <w:rsid w:val="001A0242"/>
    <w:rsid w:val="001A1092"/>
    <w:rsid w:val="001A53ED"/>
    <w:rsid w:val="001B0B2D"/>
    <w:rsid w:val="001B2BE8"/>
    <w:rsid w:val="001B3B55"/>
    <w:rsid w:val="001B7C56"/>
    <w:rsid w:val="001C0F68"/>
    <w:rsid w:val="001D2057"/>
    <w:rsid w:val="001D4489"/>
    <w:rsid w:val="001D711E"/>
    <w:rsid w:val="001E1665"/>
    <w:rsid w:val="001E6CD1"/>
    <w:rsid w:val="001E7245"/>
    <w:rsid w:val="001F103A"/>
    <w:rsid w:val="001F5734"/>
    <w:rsid w:val="001F64E5"/>
    <w:rsid w:val="001F6802"/>
    <w:rsid w:val="001F6C53"/>
    <w:rsid w:val="0020672C"/>
    <w:rsid w:val="002075A3"/>
    <w:rsid w:val="002154A2"/>
    <w:rsid w:val="00215FA0"/>
    <w:rsid w:val="002177A3"/>
    <w:rsid w:val="00226561"/>
    <w:rsid w:val="00230AF9"/>
    <w:rsid w:val="0023546D"/>
    <w:rsid w:val="0024027E"/>
    <w:rsid w:val="00241220"/>
    <w:rsid w:val="002433EC"/>
    <w:rsid w:val="00243D8A"/>
    <w:rsid w:val="002469C0"/>
    <w:rsid w:val="002472DE"/>
    <w:rsid w:val="00247AB0"/>
    <w:rsid w:val="00254D55"/>
    <w:rsid w:val="00257C09"/>
    <w:rsid w:val="00257DB4"/>
    <w:rsid w:val="00270479"/>
    <w:rsid w:val="002747A7"/>
    <w:rsid w:val="00275923"/>
    <w:rsid w:val="0027732C"/>
    <w:rsid w:val="00285F18"/>
    <w:rsid w:val="00290847"/>
    <w:rsid w:val="002929AA"/>
    <w:rsid w:val="00295685"/>
    <w:rsid w:val="00295948"/>
    <w:rsid w:val="002A0DA6"/>
    <w:rsid w:val="002A2D12"/>
    <w:rsid w:val="002A4519"/>
    <w:rsid w:val="002A6B58"/>
    <w:rsid w:val="002A6F84"/>
    <w:rsid w:val="002A7290"/>
    <w:rsid w:val="002A7F24"/>
    <w:rsid w:val="002B0065"/>
    <w:rsid w:val="002B33C6"/>
    <w:rsid w:val="002B4B70"/>
    <w:rsid w:val="002C42DA"/>
    <w:rsid w:val="002C5AB7"/>
    <w:rsid w:val="002C5C3D"/>
    <w:rsid w:val="002C7E4B"/>
    <w:rsid w:val="002D0E1B"/>
    <w:rsid w:val="002D179E"/>
    <w:rsid w:val="002D1886"/>
    <w:rsid w:val="002D74C7"/>
    <w:rsid w:val="002E23D0"/>
    <w:rsid w:val="002E3A98"/>
    <w:rsid w:val="002E611E"/>
    <w:rsid w:val="003013B7"/>
    <w:rsid w:val="00301AF3"/>
    <w:rsid w:val="00306046"/>
    <w:rsid w:val="0033262C"/>
    <w:rsid w:val="003370D4"/>
    <w:rsid w:val="00340CAF"/>
    <w:rsid w:val="00343044"/>
    <w:rsid w:val="00344087"/>
    <w:rsid w:val="003472A4"/>
    <w:rsid w:val="00350575"/>
    <w:rsid w:val="00360B06"/>
    <w:rsid w:val="00362F4B"/>
    <w:rsid w:val="0036604E"/>
    <w:rsid w:val="00366114"/>
    <w:rsid w:val="00380841"/>
    <w:rsid w:val="003808E5"/>
    <w:rsid w:val="00380A39"/>
    <w:rsid w:val="0038370F"/>
    <w:rsid w:val="00384355"/>
    <w:rsid w:val="003922E3"/>
    <w:rsid w:val="00392309"/>
    <w:rsid w:val="00392428"/>
    <w:rsid w:val="00394AD7"/>
    <w:rsid w:val="0039597A"/>
    <w:rsid w:val="003A11BC"/>
    <w:rsid w:val="003A1FC6"/>
    <w:rsid w:val="003A2FCA"/>
    <w:rsid w:val="003B5207"/>
    <w:rsid w:val="003C169B"/>
    <w:rsid w:val="003C21F6"/>
    <w:rsid w:val="003C33F3"/>
    <w:rsid w:val="003C59DE"/>
    <w:rsid w:val="003D0524"/>
    <w:rsid w:val="003E1EE2"/>
    <w:rsid w:val="003E335F"/>
    <w:rsid w:val="003E3701"/>
    <w:rsid w:val="003E7378"/>
    <w:rsid w:val="003F0845"/>
    <w:rsid w:val="003F2332"/>
    <w:rsid w:val="003F405F"/>
    <w:rsid w:val="003F46AE"/>
    <w:rsid w:val="003F72EF"/>
    <w:rsid w:val="003F7D8B"/>
    <w:rsid w:val="00404A25"/>
    <w:rsid w:val="00404F93"/>
    <w:rsid w:val="004112FF"/>
    <w:rsid w:val="00414F58"/>
    <w:rsid w:val="00423C3E"/>
    <w:rsid w:val="004302DC"/>
    <w:rsid w:val="00436A73"/>
    <w:rsid w:val="00437771"/>
    <w:rsid w:val="00442AC9"/>
    <w:rsid w:val="004440F9"/>
    <w:rsid w:val="00447D61"/>
    <w:rsid w:val="00453468"/>
    <w:rsid w:val="0046389C"/>
    <w:rsid w:val="00470539"/>
    <w:rsid w:val="0047110F"/>
    <w:rsid w:val="00471ADB"/>
    <w:rsid w:val="00475A42"/>
    <w:rsid w:val="00476F19"/>
    <w:rsid w:val="0048120C"/>
    <w:rsid w:val="004820B5"/>
    <w:rsid w:val="00483001"/>
    <w:rsid w:val="004837BD"/>
    <w:rsid w:val="004861DA"/>
    <w:rsid w:val="004A595F"/>
    <w:rsid w:val="004B3621"/>
    <w:rsid w:val="004B5C94"/>
    <w:rsid w:val="004C01E9"/>
    <w:rsid w:val="004C50D1"/>
    <w:rsid w:val="004C619C"/>
    <w:rsid w:val="004D10F6"/>
    <w:rsid w:val="004D2388"/>
    <w:rsid w:val="004D3260"/>
    <w:rsid w:val="004E04A0"/>
    <w:rsid w:val="004E19CD"/>
    <w:rsid w:val="004E4397"/>
    <w:rsid w:val="004E5A48"/>
    <w:rsid w:val="004E674A"/>
    <w:rsid w:val="004E7C7F"/>
    <w:rsid w:val="004F1410"/>
    <w:rsid w:val="004F1F25"/>
    <w:rsid w:val="005032A6"/>
    <w:rsid w:val="0050499D"/>
    <w:rsid w:val="00505022"/>
    <w:rsid w:val="0050684D"/>
    <w:rsid w:val="00514884"/>
    <w:rsid w:val="005148BF"/>
    <w:rsid w:val="005154BB"/>
    <w:rsid w:val="0051558D"/>
    <w:rsid w:val="0051599F"/>
    <w:rsid w:val="00516828"/>
    <w:rsid w:val="0052359A"/>
    <w:rsid w:val="00526671"/>
    <w:rsid w:val="0053177C"/>
    <w:rsid w:val="0053192C"/>
    <w:rsid w:val="005365E1"/>
    <w:rsid w:val="005431A9"/>
    <w:rsid w:val="00544D64"/>
    <w:rsid w:val="00546E91"/>
    <w:rsid w:val="005530BA"/>
    <w:rsid w:val="005551C4"/>
    <w:rsid w:val="005571DC"/>
    <w:rsid w:val="0056010D"/>
    <w:rsid w:val="005715A3"/>
    <w:rsid w:val="005715F1"/>
    <w:rsid w:val="005730D6"/>
    <w:rsid w:val="005747B1"/>
    <w:rsid w:val="00574F76"/>
    <w:rsid w:val="005809D9"/>
    <w:rsid w:val="0058297E"/>
    <w:rsid w:val="00586967"/>
    <w:rsid w:val="00591552"/>
    <w:rsid w:val="005930DD"/>
    <w:rsid w:val="005964D6"/>
    <w:rsid w:val="005A067F"/>
    <w:rsid w:val="005A0E9E"/>
    <w:rsid w:val="005A1BE6"/>
    <w:rsid w:val="005A3A5D"/>
    <w:rsid w:val="005A4A2A"/>
    <w:rsid w:val="005A53D7"/>
    <w:rsid w:val="005A5CD4"/>
    <w:rsid w:val="005B10C4"/>
    <w:rsid w:val="005B2888"/>
    <w:rsid w:val="005B29BF"/>
    <w:rsid w:val="005B4128"/>
    <w:rsid w:val="005C3E1C"/>
    <w:rsid w:val="005C44C9"/>
    <w:rsid w:val="005C4633"/>
    <w:rsid w:val="005C74BD"/>
    <w:rsid w:val="005D32C0"/>
    <w:rsid w:val="005D4B45"/>
    <w:rsid w:val="005D5890"/>
    <w:rsid w:val="005D58CA"/>
    <w:rsid w:val="005D5D4F"/>
    <w:rsid w:val="005D6AD5"/>
    <w:rsid w:val="005E1E30"/>
    <w:rsid w:val="005E32BF"/>
    <w:rsid w:val="005E574D"/>
    <w:rsid w:val="005F3448"/>
    <w:rsid w:val="005F62A7"/>
    <w:rsid w:val="005F7B2B"/>
    <w:rsid w:val="0060267D"/>
    <w:rsid w:val="00603BBB"/>
    <w:rsid w:val="00605F93"/>
    <w:rsid w:val="006060A1"/>
    <w:rsid w:val="00607964"/>
    <w:rsid w:val="006129AF"/>
    <w:rsid w:val="006214CA"/>
    <w:rsid w:val="00626096"/>
    <w:rsid w:val="006265A5"/>
    <w:rsid w:val="00627750"/>
    <w:rsid w:val="006350D0"/>
    <w:rsid w:val="00635665"/>
    <w:rsid w:val="0064139F"/>
    <w:rsid w:val="006436EC"/>
    <w:rsid w:val="00644676"/>
    <w:rsid w:val="00644D78"/>
    <w:rsid w:val="0064765D"/>
    <w:rsid w:val="006515BD"/>
    <w:rsid w:val="006609C2"/>
    <w:rsid w:val="00662E2F"/>
    <w:rsid w:val="00680740"/>
    <w:rsid w:val="00680FA7"/>
    <w:rsid w:val="00681D4A"/>
    <w:rsid w:val="0068789E"/>
    <w:rsid w:val="00693EEC"/>
    <w:rsid w:val="006A610F"/>
    <w:rsid w:val="006A700C"/>
    <w:rsid w:val="006A73FF"/>
    <w:rsid w:val="006B0588"/>
    <w:rsid w:val="006B1A5D"/>
    <w:rsid w:val="006C016A"/>
    <w:rsid w:val="006C1EE5"/>
    <w:rsid w:val="006C2F8C"/>
    <w:rsid w:val="006C3469"/>
    <w:rsid w:val="006C3D75"/>
    <w:rsid w:val="006D0856"/>
    <w:rsid w:val="006D7439"/>
    <w:rsid w:val="006E31E0"/>
    <w:rsid w:val="006E5ACA"/>
    <w:rsid w:val="006F3598"/>
    <w:rsid w:val="00700DB1"/>
    <w:rsid w:val="007021E1"/>
    <w:rsid w:val="00702D66"/>
    <w:rsid w:val="00714FC8"/>
    <w:rsid w:val="00716A23"/>
    <w:rsid w:val="00716DEF"/>
    <w:rsid w:val="0072156A"/>
    <w:rsid w:val="00721DF1"/>
    <w:rsid w:val="00736E34"/>
    <w:rsid w:val="0074098D"/>
    <w:rsid w:val="0074110C"/>
    <w:rsid w:val="007463A5"/>
    <w:rsid w:val="00754190"/>
    <w:rsid w:val="00754F2D"/>
    <w:rsid w:val="0075557F"/>
    <w:rsid w:val="00761043"/>
    <w:rsid w:val="00764BDF"/>
    <w:rsid w:val="00765A4F"/>
    <w:rsid w:val="00770BCC"/>
    <w:rsid w:val="007716D3"/>
    <w:rsid w:val="0077277B"/>
    <w:rsid w:val="00774AD1"/>
    <w:rsid w:val="007808EC"/>
    <w:rsid w:val="007820AC"/>
    <w:rsid w:val="007873DD"/>
    <w:rsid w:val="007950D8"/>
    <w:rsid w:val="007A00DA"/>
    <w:rsid w:val="007A0886"/>
    <w:rsid w:val="007B3C39"/>
    <w:rsid w:val="007B49B0"/>
    <w:rsid w:val="007B773E"/>
    <w:rsid w:val="007C4CDC"/>
    <w:rsid w:val="007D0371"/>
    <w:rsid w:val="007D3C44"/>
    <w:rsid w:val="007D6D96"/>
    <w:rsid w:val="007E30B6"/>
    <w:rsid w:val="007F0D18"/>
    <w:rsid w:val="007F66F5"/>
    <w:rsid w:val="007F7C48"/>
    <w:rsid w:val="00800516"/>
    <w:rsid w:val="00803B30"/>
    <w:rsid w:val="00803E9F"/>
    <w:rsid w:val="008043B0"/>
    <w:rsid w:val="008065B6"/>
    <w:rsid w:val="00810635"/>
    <w:rsid w:val="00814917"/>
    <w:rsid w:val="00815F24"/>
    <w:rsid w:val="008173BD"/>
    <w:rsid w:val="0082489E"/>
    <w:rsid w:val="00825E1B"/>
    <w:rsid w:val="0082678B"/>
    <w:rsid w:val="008335E9"/>
    <w:rsid w:val="00841163"/>
    <w:rsid w:val="008417FD"/>
    <w:rsid w:val="00854612"/>
    <w:rsid w:val="00860834"/>
    <w:rsid w:val="00866CDC"/>
    <w:rsid w:val="00871EFA"/>
    <w:rsid w:val="008725AB"/>
    <w:rsid w:val="00874E2F"/>
    <w:rsid w:val="00875680"/>
    <w:rsid w:val="0087596F"/>
    <w:rsid w:val="008855DA"/>
    <w:rsid w:val="008860D7"/>
    <w:rsid w:val="0089734B"/>
    <w:rsid w:val="00897D1F"/>
    <w:rsid w:val="008A550A"/>
    <w:rsid w:val="008B311D"/>
    <w:rsid w:val="008B5875"/>
    <w:rsid w:val="008C074D"/>
    <w:rsid w:val="008C1DD2"/>
    <w:rsid w:val="008C6760"/>
    <w:rsid w:val="008D7C2B"/>
    <w:rsid w:val="008E0B5D"/>
    <w:rsid w:val="008E1962"/>
    <w:rsid w:val="008E1CFD"/>
    <w:rsid w:val="008E4C45"/>
    <w:rsid w:val="008F3D1F"/>
    <w:rsid w:val="009008EC"/>
    <w:rsid w:val="00905A2E"/>
    <w:rsid w:val="00905F99"/>
    <w:rsid w:val="00916B38"/>
    <w:rsid w:val="00920AF0"/>
    <w:rsid w:val="00931972"/>
    <w:rsid w:val="00936C1B"/>
    <w:rsid w:val="009379A6"/>
    <w:rsid w:val="009441F8"/>
    <w:rsid w:val="00946898"/>
    <w:rsid w:val="00952D6B"/>
    <w:rsid w:val="00953713"/>
    <w:rsid w:val="0095615A"/>
    <w:rsid w:val="00956346"/>
    <w:rsid w:val="00957B8B"/>
    <w:rsid w:val="00965030"/>
    <w:rsid w:val="00966576"/>
    <w:rsid w:val="009730F1"/>
    <w:rsid w:val="00976416"/>
    <w:rsid w:val="00977C43"/>
    <w:rsid w:val="009831B9"/>
    <w:rsid w:val="00986FFF"/>
    <w:rsid w:val="00991982"/>
    <w:rsid w:val="00993358"/>
    <w:rsid w:val="00995BBA"/>
    <w:rsid w:val="00997175"/>
    <w:rsid w:val="009A4616"/>
    <w:rsid w:val="009A7CF4"/>
    <w:rsid w:val="009B0603"/>
    <w:rsid w:val="009B37D4"/>
    <w:rsid w:val="009B4582"/>
    <w:rsid w:val="009B4C33"/>
    <w:rsid w:val="009B6C8D"/>
    <w:rsid w:val="009B70E8"/>
    <w:rsid w:val="009C21F8"/>
    <w:rsid w:val="009C2529"/>
    <w:rsid w:val="009C3F69"/>
    <w:rsid w:val="009C40C6"/>
    <w:rsid w:val="009C421B"/>
    <w:rsid w:val="009D050D"/>
    <w:rsid w:val="009D0B05"/>
    <w:rsid w:val="009D0D7F"/>
    <w:rsid w:val="009D31E8"/>
    <w:rsid w:val="009D323A"/>
    <w:rsid w:val="009D3504"/>
    <w:rsid w:val="009D6722"/>
    <w:rsid w:val="009D6BE0"/>
    <w:rsid w:val="009E004E"/>
    <w:rsid w:val="009E7911"/>
    <w:rsid w:val="009F23D0"/>
    <w:rsid w:val="009F66C8"/>
    <w:rsid w:val="009F6B44"/>
    <w:rsid w:val="00A00FAB"/>
    <w:rsid w:val="00A047F3"/>
    <w:rsid w:val="00A070AC"/>
    <w:rsid w:val="00A1184E"/>
    <w:rsid w:val="00A12D03"/>
    <w:rsid w:val="00A12D3C"/>
    <w:rsid w:val="00A12F4C"/>
    <w:rsid w:val="00A14335"/>
    <w:rsid w:val="00A145E5"/>
    <w:rsid w:val="00A14EAF"/>
    <w:rsid w:val="00A160FC"/>
    <w:rsid w:val="00A17A72"/>
    <w:rsid w:val="00A21FC4"/>
    <w:rsid w:val="00A23CAA"/>
    <w:rsid w:val="00A32411"/>
    <w:rsid w:val="00A36B7C"/>
    <w:rsid w:val="00A414DE"/>
    <w:rsid w:val="00A43952"/>
    <w:rsid w:val="00A44B40"/>
    <w:rsid w:val="00A52764"/>
    <w:rsid w:val="00A557E6"/>
    <w:rsid w:val="00A564BE"/>
    <w:rsid w:val="00A56512"/>
    <w:rsid w:val="00A70510"/>
    <w:rsid w:val="00A73674"/>
    <w:rsid w:val="00A86C63"/>
    <w:rsid w:val="00A907C1"/>
    <w:rsid w:val="00A91790"/>
    <w:rsid w:val="00A937C7"/>
    <w:rsid w:val="00A962B2"/>
    <w:rsid w:val="00AB43DE"/>
    <w:rsid w:val="00AB5154"/>
    <w:rsid w:val="00AB6786"/>
    <w:rsid w:val="00AC3DBF"/>
    <w:rsid w:val="00AD06B4"/>
    <w:rsid w:val="00AD0E04"/>
    <w:rsid w:val="00AD3879"/>
    <w:rsid w:val="00AD47C8"/>
    <w:rsid w:val="00AD7939"/>
    <w:rsid w:val="00AE463E"/>
    <w:rsid w:val="00AE5D31"/>
    <w:rsid w:val="00AE67FC"/>
    <w:rsid w:val="00AE69B8"/>
    <w:rsid w:val="00AF1433"/>
    <w:rsid w:val="00AF2EF6"/>
    <w:rsid w:val="00AF2FA7"/>
    <w:rsid w:val="00AF3D31"/>
    <w:rsid w:val="00AF5449"/>
    <w:rsid w:val="00B05AFC"/>
    <w:rsid w:val="00B06B1B"/>
    <w:rsid w:val="00B07CCD"/>
    <w:rsid w:val="00B07DB7"/>
    <w:rsid w:val="00B12D39"/>
    <w:rsid w:val="00B16761"/>
    <w:rsid w:val="00B16E04"/>
    <w:rsid w:val="00B2087D"/>
    <w:rsid w:val="00B21701"/>
    <w:rsid w:val="00B22A4E"/>
    <w:rsid w:val="00B2576E"/>
    <w:rsid w:val="00B27064"/>
    <w:rsid w:val="00B27E26"/>
    <w:rsid w:val="00B31071"/>
    <w:rsid w:val="00B35437"/>
    <w:rsid w:val="00B40955"/>
    <w:rsid w:val="00B40BBA"/>
    <w:rsid w:val="00B4785B"/>
    <w:rsid w:val="00B478F5"/>
    <w:rsid w:val="00B50064"/>
    <w:rsid w:val="00B51B73"/>
    <w:rsid w:val="00B601AA"/>
    <w:rsid w:val="00B62573"/>
    <w:rsid w:val="00B63F51"/>
    <w:rsid w:val="00B655BF"/>
    <w:rsid w:val="00B66750"/>
    <w:rsid w:val="00B835C4"/>
    <w:rsid w:val="00B8366E"/>
    <w:rsid w:val="00B862D2"/>
    <w:rsid w:val="00B92F87"/>
    <w:rsid w:val="00B9318C"/>
    <w:rsid w:val="00B932AB"/>
    <w:rsid w:val="00B9553E"/>
    <w:rsid w:val="00BA082C"/>
    <w:rsid w:val="00BA27F2"/>
    <w:rsid w:val="00BA4FD8"/>
    <w:rsid w:val="00BA68A5"/>
    <w:rsid w:val="00BB54AD"/>
    <w:rsid w:val="00BC3461"/>
    <w:rsid w:val="00BD706A"/>
    <w:rsid w:val="00BD788B"/>
    <w:rsid w:val="00BE6B83"/>
    <w:rsid w:val="00BF023A"/>
    <w:rsid w:val="00BF1466"/>
    <w:rsid w:val="00BF2F54"/>
    <w:rsid w:val="00C021FE"/>
    <w:rsid w:val="00C1125B"/>
    <w:rsid w:val="00C117D8"/>
    <w:rsid w:val="00C12AC8"/>
    <w:rsid w:val="00C15A70"/>
    <w:rsid w:val="00C15B2E"/>
    <w:rsid w:val="00C20DEF"/>
    <w:rsid w:val="00C229A0"/>
    <w:rsid w:val="00C22F83"/>
    <w:rsid w:val="00C24FBE"/>
    <w:rsid w:val="00C30BBF"/>
    <w:rsid w:val="00C32255"/>
    <w:rsid w:val="00C34F4D"/>
    <w:rsid w:val="00C42D9F"/>
    <w:rsid w:val="00C55D6D"/>
    <w:rsid w:val="00C5618E"/>
    <w:rsid w:val="00C6150B"/>
    <w:rsid w:val="00C64A24"/>
    <w:rsid w:val="00C64AA8"/>
    <w:rsid w:val="00C73CF6"/>
    <w:rsid w:val="00C74F08"/>
    <w:rsid w:val="00C75443"/>
    <w:rsid w:val="00C857C2"/>
    <w:rsid w:val="00C859E2"/>
    <w:rsid w:val="00C9046F"/>
    <w:rsid w:val="00C91FE4"/>
    <w:rsid w:val="00C92A22"/>
    <w:rsid w:val="00C93C79"/>
    <w:rsid w:val="00C965A8"/>
    <w:rsid w:val="00C968F0"/>
    <w:rsid w:val="00C97858"/>
    <w:rsid w:val="00CA41B0"/>
    <w:rsid w:val="00CA5CA7"/>
    <w:rsid w:val="00CB00FD"/>
    <w:rsid w:val="00CB13C9"/>
    <w:rsid w:val="00CC0FF6"/>
    <w:rsid w:val="00CC6E1A"/>
    <w:rsid w:val="00CC7A2F"/>
    <w:rsid w:val="00CD1C8A"/>
    <w:rsid w:val="00CD2E14"/>
    <w:rsid w:val="00CD3611"/>
    <w:rsid w:val="00CD4C37"/>
    <w:rsid w:val="00CD6F92"/>
    <w:rsid w:val="00CD7FC2"/>
    <w:rsid w:val="00CE2F07"/>
    <w:rsid w:val="00CE53E6"/>
    <w:rsid w:val="00CF192B"/>
    <w:rsid w:val="00D04489"/>
    <w:rsid w:val="00D10BEA"/>
    <w:rsid w:val="00D114FB"/>
    <w:rsid w:val="00D129E5"/>
    <w:rsid w:val="00D1750F"/>
    <w:rsid w:val="00D23F74"/>
    <w:rsid w:val="00D25754"/>
    <w:rsid w:val="00D27B9C"/>
    <w:rsid w:val="00D3493C"/>
    <w:rsid w:val="00D4374D"/>
    <w:rsid w:val="00D4724C"/>
    <w:rsid w:val="00D61BB9"/>
    <w:rsid w:val="00D62685"/>
    <w:rsid w:val="00D638B5"/>
    <w:rsid w:val="00D63DED"/>
    <w:rsid w:val="00D6463F"/>
    <w:rsid w:val="00D65E1E"/>
    <w:rsid w:val="00D666DB"/>
    <w:rsid w:val="00D726A7"/>
    <w:rsid w:val="00D85EBC"/>
    <w:rsid w:val="00D86F86"/>
    <w:rsid w:val="00D969E4"/>
    <w:rsid w:val="00D9738C"/>
    <w:rsid w:val="00DA038C"/>
    <w:rsid w:val="00DA40C1"/>
    <w:rsid w:val="00DA5723"/>
    <w:rsid w:val="00DB2323"/>
    <w:rsid w:val="00DB616C"/>
    <w:rsid w:val="00DB68D6"/>
    <w:rsid w:val="00DB711A"/>
    <w:rsid w:val="00DB73D1"/>
    <w:rsid w:val="00DC0D1D"/>
    <w:rsid w:val="00DC25FE"/>
    <w:rsid w:val="00DC30FE"/>
    <w:rsid w:val="00DC5ACC"/>
    <w:rsid w:val="00DD5CD8"/>
    <w:rsid w:val="00DE49C1"/>
    <w:rsid w:val="00DE5811"/>
    <w:rsid w:val="00DE67B4"/>
    <w:rsid w:val="00DE7BBB"/>
    <w:rsid w:val="00DF2535"/>
    <w:rsid w:val="00DF581E"/>
    <w:rsid w:val="00E007A1"/>
    <w:rsid w:val="00E0118D"/>
    <w:rsid w:val="00E01EE4"/>
    <w:rsid w:val="00E02759"/>
    <w:rsid w:val="00E04BF4"/>
    <w:rsid w:val="00E12213"/>
    <w:rsid w:val="00E1361C"/>
    <w:rsid w:val="00E15E6F"/>
    <w:rsid w:val="00E2037C"/>
    <w:rsid w:val="00E203D4"/>
    <w:rsid w:val="00E26ACF"/>
    <w:rsid w:val="00E3363D"/>
    <w:rsid w:val="00E44BB3"/>
    <w:rsid w:val="00E45C9D"/>
    <w:rsid w:val="00E52C67"/>
    <w:rsid w:val="00E550CC"/>
    <w:rsid w:val="00E57069"/>
    <w:rsid w:val="00E6282D"/>
    <w:rsid w:val="00E63697"/>
    <w:rsid w:val="00E66E8D"/>
    <w:rsid w:val="00E71960"/>
    <w:rsid w:val="00E804AC"/>
    <w:rsid w:val="00E8421B"/>
    <w:rsid w:val="00E877D1"/>
    <w:rsid w:val="00E95126"/>
    <w:rsid w:val="00E9760D"/>
    <w:rsid w:val="00EA3287"/>
    <w:rsid w:val="00EA341F"/>
    <w:rsid w:val="00EA44BE"/>
    <w:rsid w:val="00EB0DDE"/>
    <w:rsid w:val="00EB1ABE"/>
    <w:rsid w:val="00EB2B84"/>
    <w:rsid w:val="00EB37FB"/>
    <w:rsid w:val="00EC24C8"/>
    <w:rsid w:val="00ED0E24"/>
    <w:rsid w:val="00ED5079"/>
    <w:rsid w:val="00ED56E8"/>
    <w:rsid w:val="00EE1115"/>
    <w:rsid w:val="00EE11BC"/>
    <w:rsid w:val="00EE1E98"/>
    <w:rsid w:val="00EE6EE3"/>
    <w:rsid w:val="00EF557D"/>
    <w:rsid w:val="00EF6C6B"/>
    <w:rsid w:val="00EF79E1"/>
    <w:rsid w:val="00F02A64"/>
    <w:rsid w:val="00F02D9F"/>
    <w:rsid w:val="00F042CC"/>
    <w:rsid w:val="00F06A4C"/>
    <w:rsid w:val="00F06E31"/>
    <w:rsid w:val="00F2113B"/>
    <w:rsid w:val="00F244D4"/>
    <w:rsid w:val="00F260F6"/>
    <w:rsid w:val="00F26F63"/>
    <w:rsid w:val="00F31321"/>
    <w:rsid w:val="00F32B12"/>
    <w:rsid w:val="00F35379"/>
    <w:rsid w:val="00F36AC3"/>
    <w:rsid w:val="00F440F9"/>
    <w:rsid w:val="00F4746C"/>
    <w:rsid w:val="00F51C2A"/>
    <w:rsid w:val="00F52A8F"/>
    <w:rsid w:val="00F55D48"/>
    <w:rsid w:val="00F6299D"/>
    <w:rsid w:val="00F66AF7"/>
    <w:rsid w:val="00F746DB"/>
    <w:rsid w:val="00F80876"/>
    <w:rsid w:val="00F9018F"/>
    <w:rsid w:val="00F90D7F"/>
    <w:rsid w:val="00FA19C6"/>
    <w:rsid w:val="00FA3B18"/>
    <w:rsid w:val="00FC147E"/>
    <w:rsid w:val="00FC224A"/>
    <w:rsid w:val="00FC65E5"/>
    <w:rsid w:val="00FD0389"/>
    <w:rsid w:val="00FD0F3E"/>
    <w:rsid w:val="00FD7454"/>
    <w:rsid w:val="00FE1B5A"/>
    <w:rsid w:val="00FE4C9A"/>
    <w:rsid w:val="00FE7C0F"/>
    <w:rsid w:val="00FF514C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3E893C"/>
  <w15:chartTrackingRefBased/>
  <w15:docId w15:val="{1C721A99-BD86-46A4-8067-00931466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F0"/>
  </w:style>
  <w:style w:type="paragraph" w:styleId="Overskrift1">
    <w:name w:val="heading 1"/>
    <w:basedOn w:val="Normal"/>
    <w:next w:val="Normal"/>
    <w:link w:val="Overskrift1Tegn"/>
    <w:uiPriority w:val="9"/>
    <w:qFormat/>
    <w:rsid w:val="00EF6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6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1703FB"/>
    <w:pPr>
      <w:keepNext/>
      <w:keepLines/>
      <w:spacing w:before="200" w:after="60" w:line="240" w:lineRule="atLeast"/>
      <w:outlineLvl w:val="7"/>
    </w:pPr>
    <w:rPr>
      <w:rFonts w:eastAsiaTheme="majorEastAsia" w:cstheme="majorBidi"/>
      <w:i/>
      <w:spacing w:val="4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0AF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unhideWhenUsed/>
    <w:rsid w:val="00920AF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20AF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20AF0"/>
    <w:rPr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920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0AF0"/>
  </w:style>
  <w:style w:type="character" w:styleId="Kommentarhenvisning">
    <w:name w:val="annotation reference"/>
    <w:basedOn w:val="Standardskrifttypeiafsnit"/>
    <w:uiPriority w:val="99"/>
    <w:semiHidden/>
    <w:unhideWhenUsed/>
    <w:rsid w:val="00920A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703F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703F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03F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03F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03FB"/>
    <w:rPr>
      <w:rFonts w:ascii="Segoe UI" w:hAnsi="Segoe UI" w:cs="Segoe UI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703FB"/>
    <w:rPr>
      <w:rFonts w:eastAsiaTheme="majorEastAsia" w:cstheme="majorBidi"/>
      <w:i/>
      <w:spacing w:val="4"/>
      <w:sz w:val="20"/>
      <w:szCs w:val="20"/>
    </w:rPr>
  </w:style>
  <w:style w:type="paragraph" w:styleId="Korrektur">
    <w:name w:val="Revision"/>
    <w:hidden/>
    <w:uiPriority w:val="99"/>
    <w:semiHidden/>
    <w:rsid w:val="006060A1"/>
    <w:pPr>
      <w:spacing w:after="0" w:line="240" w:lineRule="auto"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857C2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857C2"/>
    <w:rPr>
      <w:rFonts w:ascii="Calibri" w:hAnsi="Calibri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E33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363D"/>
  </w:style>
  <w:style w:type="character" w:customStyle="1" w:styleId="Overskrift2Tegn">
    <w:name w:val="Overskrift 2 Tegn"/>
    <w:basedOn w:val="Standardskrifttypeiafsnit"/>
    <w:link w:val="Overskrift2"/>
    <w:uiPriority w:val="9"/>
    <w:rsid w:val="00A96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F6C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6260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D0F3E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0F3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B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handlingsfaellesskabet.dk/media/aehlen2h/21-0276-7-f-lgeskrivelse-gdpr-13-12-2021.pdf" TargetMode="External"/><Relationship Id="rId2" Type="http://schemas.openxmlformats.org/officeDocument/2006/relationships/hyperlink" Target="https://eur02.safelinks.protection.outlook.com/?url=https%3A%2F%2Fwww.regioner.dk%2Faftaler-og-oekonomi%2Farbejdsgiver%2Ftillidsrepraesentantens-anvendelse-af-arbejdsgivers-it-system&amp;data=04%7C01%7Cmvs%40regioner.dk%7C33c692b2f2604d81519c08d9be08f620%7Cd99161eb161941639c7e1c13824d69e5%7C0%7C0%7C637749767974797956%7CUnknown%7CTWFpbGZsb3d8eyJWIjoiMC4wLjAwMDAiLCJQIjoiV2luMzIiLCJBTiI6Ik1haWwiLCJXVCI6Mn0%3D%7C3000&amp;sdata=G0S6mcTJEdgnpssifc5qbDlTTJYY5qlH7dBahiujCBk%3D&amp;reserved=0" TargetMode="External"/><Relationship Id="rId1" Type="http://schemas.openxmlformats.org/officeDocument/2006/relationships/hyperlink" Target="https://www.kl.dk/okonomi-og-administration/digitalisering-og-teknologi/databeskyttelse-og-informationssikkerhed/information-om-forordningen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36981F920114AA49B8778FA8D031F" ma:contentTypeVersion="1" ma:contentTypeDescription="Create a new document." ma:contentTypeScope="" ma:versionID="d51e759047f967e040ae91cc16e475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ee3dc95b78b4b94499faeb02ba9c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DB82-8B09-4C0F-B6E3-8EEA49615D2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0A82EA-D6C3-4812-B329-C47EC6B38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12733-8ABC-4BFA-9FE7-35379F11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E7FD63-10B5-41FE-87A6-C85482FA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8875</Characters>
  <Application>Microsoft Office Word</Application>
  <DocSecurity>4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20-0187.168.Udkast GDPR-aftale 7.9.2021 - sekretariatsmæssig enighed</vt:lpstr>
    </vt:vector>
  </TitlesOfParts>
  <Company>KL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Standardaftale, GPDR</dc:title>
  <dc:subject/>
  <dc:creator>Karin Hoffmann-Hansen</dc:creator>
  <cp:keywords/>
  <dc:description/>
  <cp:lastModifiedBy>Tina</cp:lastModifiedBy>
  <cp:revision>2</cp:revision>
  <cp:lastPrinted>2021-06-22T09:03:00Z</cp:lastPrinted>
  <dcterms:created xsi:type="dcterms:W3CDTF">2021-12-13T11:42:00Z</dcterms:created>
  <dcterms:modified xsi:type="dcterms:W3CDTF">2021-12-13T11:42:00Z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0x01010031336981F920114AA49B8778FA8D031F</vt:lpwstr>
  </property>
  <property fmtid="{D5CDD505-2E9C-101B-9397-08002B2CF9AE}" pid="3" name="EXDocumentID">
    <vt:lpwstr>000174108</vt:lpwstr>
  </property>
  <property fmtid="{D5CDD505-2E9C-101B-9397-08002B2CF9AE}" pid="4" name="EXCoreDocType">
    <vt:lpwstr>Type1A</vt:lpwstr>
  </property>
  <property fmtid="{D5CDD505-2E9C-101B-9397-08002B2CF9AE}" pid="5" name="EXHash">
    <vt:lpwstr>A461A28A10D2277E401EC82D8E72C44E7A9052417E34A480BCF42A32916191BF27D8D86CF54889E9DC962FB6219F4EC6261AC2E1702919F443525E7042969A</vt:lpwstr>
  </property>
  <property fmtid="{D5CDD505-2E9C-101B-9397-08002B2CF9AE}" pid="6" name="EXTimestamp">
    <vt:lpwstr>06-12-2021 15:13:38</vt:lpwstr>
  </property>
  <property fmtid="{D5CDD505-2E9C-101B-9397-08002B2CF9AE}" pid="7" name="dDocNo">
    <vt:lpwstr>21-0276.2.</vt:lpwstr>
  </property>
  <property fmtid="{D5CDD505-2E9C-101B-9397-08002B2CF9AE}" pid="8" name="DL_Id">
    <vt:lpwstr>7034</vt:lpwstr>
  </property>
  <property fmtid="{D5CDD505-2E9C-101B-9397-08002B2CF9AE}" pid="9" name="sOprettetAf">
    <vt:lpwstr>MONTES\kto-evaa</vt:lpwstr>
  </property>
  <property fmtid="{D5CDD505-2E9C-101B-9397-08002B2CF9AE}" pid="10" name="sOprettetDato">
    <vt:lpwstr>03-08-2020</vt:lpwstr>
  </property>
  <property fmtid="{D5CDD505-2E9C-101B-9397-08002B2CF9AE}" pid="11" name="sNr">
    <vt:lpwstr>20-0187</vt:lpwstr>
  </property>
  <property fmtid="{D5CDD505-2E9C-101B-9397-08002B2CF9AE}" pid="12" name="sTitel">
    <vt:lpwstr>GDPR-aftale II - TRs anvendelse af arbejdspladsens IT-udstyr</vt:lpwstr>
  </property>
  <property fmtid="{D5CDD505-2E9C-101B-9397-08002B2CF9AE}" pid="13" name="sBeskrivelse">
    <vt:lpwstr/>
  </property>
  <property fmtid="{D5CDD505-2E9C-101B-9397-08002B2CF9AE}" pid="14" name="sAnsvarligInitialer">
    <vt:lpwstr>kto-evaa</vt:lpwstr>
  </property>
  <property fmtid="{D5CDD505-2E9C-101B-9397-08002B2CF9AE}" pid="15" name="sAnsvarligNavn">
    <vt:lpwstr>Eva Agerlin</vt:lpwstr>
  </property>
  <property fmtid="{D5CDD505-2E9C-101B-9397-08002B2CF9AE}" pid="16" name="DL_CaseNo">
    <vt:lpwstr>20-0187</vt:lpwstr>
  </property>
  <property fmtid="{D5CDD505-2E9C-101B-9397-08002B2CF9AE}" pid="17" name="sKlassifikation">
    <vt:lpwstr>FF/Emner - aftaler/MED - TR/Projekter mv./Fælles</vt:lpwstr>
  </property>
  <property fmtid="{D5CDD505-2E9C-101B-9397-08002B2CF9AE}" pid="18" name="sJournal">
    <vt:lpwstr>05.07.02 Medindflydelse og medbestemmelse, Rammeaftale om</vt:lpwstr>
  </property>
  <property fmtid="{D5CDD505-2E9C-101B-9397-08002B2CF9AE}" pid="19" name="EntityNameForeign">
    <vt:lpwstr>DL_Activities</vt:lpwstr>
  </property>
  <property fmtid="{D5CDD505-2E9C-101B-9397-08002B2CF9AE}" pid="20" name="EntityId">
    <vt:lpwstr>6336</vt:lpwstr>
  </property>
  <property fmtid="{D5CDD505-2E9C-101B-9397-08002B2CF9AE}" pid="21" name="DocumentName">
    <vt:lpwstr>http://spas.montes.dk/Activities/18Docs/18-0189/18-0189.194.Redigeret udkast 2.7.2019 sekretariatsbetjeningsmodel m FF-bem.docx</vt:lpwstr>
  </property>
  <property fmtid="{D5CDD505-2E9C-101B-9397-08002B2CF9AE}" pid="22" name="CCMOneDriveID">
    <vt:lpwstr/>
  </property>
  <property fmtid="{D5CDD505-2E9C-101B-9397-08002B2CF9AE}" pid="23" name="CCMOneDriveOwnerID">
    <vt:lpwstr/>
  </property>
  <property fmtid="{D5CDD505-2E9C-101B-9397-08002B2CF9AE}" pid="24" name="CCMOneDriveItemID">
    <vt:lpwstr/>
  </property>
  <property fmtid="{D5CDD505-2E9C-101B-9397-08002B2CF9AE}" pid="25" name="CCMIsSharedOnOneDrive">
    <vt:bool>false</vt:bool>
  </property>
  <property fmtid="{D5CDD505-2E9C-101B-9397-08002B2CF9AE}" pid="26" name="CCMSystem">
    <vt:lpwstr> </vt:lpwstr>
  </property>
  <property fmtid="{D5CDD505-2E9C-101B-9397-08002B2CF9AE}" pid="27" name="CCMIsEmailAttachment">
    <vt:i4>1</vt:i4>
  </property>
  <property fmtid="{D5CDD505-2E9C-101B-9397-08002B2CF9AE}" pid="28" name="CCMEventContext">
    <vt:lpwstr>85ec7b13-a716-4538-8576-7a64dd347f25</vt:lpwstr>
  </property>
  <property fmtid="{D5CDD505-2E9C-101B-9397-08002B2CF9AE}" pid="29" name="xd_Signature">
    <vt:bool>false</vt:bool>
  </property>
</Properties>
</file>