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55A5" w14:textId="77777777" w:rsidR="00CD7DAE" w:rsidRPr="001A78DE" w:rsidRDefault="00CD7DAE" w:rsidP="00992CB5">
      <w:pPr>
        <w:spacing w:after="70" w:line="290" w:lineRule="exact"/>
        <w:jc w:val="both"/>
        <w:rPr>
          <w:rFonts w:cs="Arial"/>
          <w:sz w:val="24"/>
          <w:szCs w:val="24"/>
        </w:rPr>
      </w:pPr>
    </w:p>
    <w:p w14:paraId="56D855A6" w14:textId="77777777" w:rsidR="009D35C7" w:rsidRPr="001A78DE" w:rsidRDefault="009D35C7" w:rsidP="00992CB5">
      <w:pPr>
        <w:spacing w:after="70" w:line="290" w:lineRule="exact"/>
        <w:jc w:val="both"/>
        <w:rPr>
          <w:rFonts w:cs="Arial"/>
          <w:sz w:val="24"/>
          <w:szCs w:val="24"/>
        </w:rPr>
      </w:pPr>
    </w:p>
    <w:p w14:paraId="56D855A7" w14:textId="77777777" w:rsidR="009D35C7" w:rsidRPr="001A78DE" w:rsidRDefault="009D35C7" w:rsidP="00992CB5">
      <w:pPr>
        <w:spacing w:after="70" w:line="290" w:lineRule="exact"/>
        <w:jc w:val="both"/>
        <w:rPr>
          <w:rFonts w:cs="Arial"/>
          <w:sz w:val="24"/>
          <w:szCs w:val="24"/>
        </w:rPr>
      </w:pPr>
    </w:p>
    <w:p w14:paraId="56D855A8" w14:textId="77777777" w:rsidR="009D35C7" w:rsidRPr="001A78DE" w:rsidRDefault="009D35C7" w:rsidP="00992CB5">
      <w:pPr>
        <w:spacing w:after="70" w:line="290" w:lineRule="exact"/>
        <w:jc w:val="both"/>
        <w:rPr>
          <w:rFonts w:cs="Arial"/>
          <w:sz w:val="24"/>
          <w:szCs w:val="24"/>
        </w:rPr>
      </w:pPr>
    </w:p>
    <w:p w14:paraId="20DB34C0" w14:textId="4BED91BB" w:rsidR="005C0313" w:rsidRPr="00643AE7" w:rsidRDefault="005C0313" w:rsidP="005C0313">
      <w:pPr>
        <w:spacing w:after="70" w:line="290" w:lineRule="exact"/>
        <w:jc w:val="both"/>
        <w:rPr>
          <w:rFonts w:ascii="Aptos" w:hAnsi="Aptos" w:cs="Arial"/>
          <w:sz w:val="28"/>
          <w:szCs w:val="28"/>
        </w:rPr>
      </w:pPr>
      <w:r w:rsidRPr="00754E7A">
        <w:rPr>
          <w:rFonts w:ascii="Aptos" w:hAnsi="Aptos"/>
          <w:sz w:val="28"/>
          <w:szCs w:val="28"/>
        </w:rPr>
        <w:t xml:space="preserve">REGNSKABSINSTRUKS </w:t>
      </w:r>
      <w:r>
        <w:rPr>
          <w:rFonts w:ascii="Aptos" w:hAnsi="Aptos"/>
          <w:sz w:val="28"/>
          <w:szCs w:val="28"/>
        </w:rPr>
        <w:t>202</w:t>
      </w:r>
      <w:r w:rsidR="00EC1D99">
        <w:rPr>
          <w:rFonts w:ascii="Aptos" w:hAnsi="Aptos"/>
          <w:sz w:val="28"/>
          <w:szCs w:val="28"/>
        </w:rPr>
        <w:t>5</w:t>
      </w:r>
    </w:p>
    <w:p w14:paraId="14835A75" w14:textId="77777777" w:rsidR="005C0313" w:rsidRPr="00754E7A" w:rsidRDefault="005C0313" w:rsidP="005C0313">
      <w:pPr>
        <w:spacing w:after="70" w:line="290" w:lineRule="exact"/>
        <w:jc w:val="both"/>
        <w:rPr>
          <w:rFonts w:ascii="Aptos" w:hAnsi="Aptos"/>
        </w:rPr>
      </w:pPr>
    </w:p>
    <w:p w14:paraId="0E31F088" w14:textId="77777777" w:rsidR="005C0313" w:rsidRPr="00754E7A" w:rsidRDefault="005C0313" w:rsidP="005C0313">
      <w:pPr>
        <w:spacing w:after="70" w:line="290" w:lineRule="exact"/>
        <w:jc w:val="both"/>
        <w:rPr>
          <w:rFonts w:ascii="Aptos" w:hAnsi="Aptos"/>
          <w:b/>
          <w:bCs/>
          <w:sz w:val="24"/>
          <w:szCs w:val="24"/>
        </w:rPr>
      </w:pPr>
      <w:r w:rsidRPr="00754E7A">
        <w:rPr>
          <w:rFonts w:ascii="Aptos" w:hAnsi="Aptos"/>
          <w:b/>
          <w:bCs/>
          <w:sz w:val="24"/>
          <w:szCs w:val="24"/>
        </w:rPr>
        <w:t xml:space="preserve">Anvendelse af bevillingen </w:t>
      </w:r>
    </w:p>
    <w:p w14:paraId="2CE54376" w14:textId="77777777" w:rsidR="005C0313" w:rsidRPr="00754E7A" w:rsidRDefault="005C0313" w:rsidP="005C0313">
      <w:pPr>
        <w:spacing w:after="70" w:line="290" w:lineRule="exact"/>
        <w:jc w:val="both"/>
        <w:rPr>
          <w:rFonts w:ascii="Aptos" w:hAnsi="Aptos"/>
          <w:b/>
          <w:bCs/>
        </w:rPr>
      </w:pPr>
      <w:r w:rsidRPr="00754E7A">
        <w:rPr>
          <w:rFonts w:ascii="Aptos" w:hAnsi="Aptos"/>
        </w:rPr>
        <w:t xml:space="preserve">Bevillingsbeløbet er fastsat på grundlag af ansøgningens budget til hel eller delvis dækning af udgifterne. Formålet med projektet må ikke ændres og bevillingsbeløbet ikke anvendes på en måde, der afviger fra budgettet, medmindre der er indhentet </w:t>
      </w:r>
      <w:r w:rsidRPr="00754E7A">
        <w:rPr>
          <w:rFonts w:ascii="Aptos" w:hAnsi="Aptos"/>
          <w:b/>
          <w:bCs/>
        </w:rPr>
        <w:t xml:space="preserve">forudgående godkendelse. </w:t>
      </w:r>
    </w:p>
    <w:p w14:paraId="7259C63A" w14:textId="77777777" w:rsidR="005C0313" w:rsidRPr="00754E7A" w:rsidRDefault="005C0313" w:rsidP="005C0313">
      <w:pPr>
        <w:spacing w:after="70" w:line="290" w:lineRule="exact"/>
        <w:jc w:val="both"/>
        <w:rPr>
          <w:rFonts w:ascii="Aptos" w:hAnsi="Aptos"/>
        </w:rPr>
      </w:pPr>
    </w:p>
    <w:p w14:paraId="7916A065" w14:textId="77777777" w:rsidR="005C0313" w:rsidRPr="00754E7A" w:rsidRDefault="005C0313" w:rsidP="005C0313">
      <w:pPr>
        <w:spacing w:after="70" w:line="290" w:lineRule="exact"/>
        <w:jc w:val="both"/>
        <w:rPr>
          <w:rFonts w:ascii="Aptos" w:hAnsi="Aptos"/>
          <w:b/>
          <w:bCs/>
          <w:sz w:val="24"/>
          <w:szCs w:val="24"/>
        </w:rPr>
      </w:pPr>
      <w:r w:rsidRPr="00754E7A">
        <w:rPr>
          <w:rFonts w:ascii="Aptos" w:hAnsi="Aptos"/>
          <w:b/>
          <w:bCs/>
          <w:sz w:val="24"/>
          <w:szCs w:val="24"/>
        </w:rPr>
        <w:t xml:space="preserve">Udbetaling – anbringelse – renter </w:t>
      </w:r>
    </w:p>
    <w:p w14:paraId="7414304F" w14:textId="77777777" w:rsidR="005C0313" w:rsidRPr="00754E7A" w:rsidRDefault="005C0313" w:rsidP="005C0313">
      <w:pPr>
        <w:spacing w:after="70" w:line="290" w:lineRule="exact"/>
        <w:jc w:val="both"/>
        <w:rPr>
          <w:rFonts w:ascii="Aptos" w:hAnsi="Aptos"/>
        </w:rPr>
      </w:pPr>
      <w:r w:rsidRPr="00754E7A">
        <w:rPr>
          <w:rFonts w:ascii="Aptos" w:hAnsi="Aptos"/>
        </w:rPr>
        <w:t xml:space="preserve">Det bevilgede beløb udbetales af Danske Regioner efter skriftlig anmodning fra bevillingshaveren. I dennes skriftlige anmodning skal det oplyses, til hvilken registrerings- og bankkontonummer beløbet ønskes anvist. </w:t>
      </w:r>
    </w:p>
    <w:p w14:paraId="458E3D03" w14:textId="77777777" w:rsidR="005C0313" w:rsidRPr="00754E7A" w:rsidRDefault="005C0313" w:rsidP="005C0313">
      <w:pPr>
        <w:spacing w:after="70" w:line="290" w:lineRule="exact"/>
        <w:jc w:val="both"/>
        <w:rPr>
          <w:rFonts w:ascii="Aptos" w:hAnsi="Aptos"/>
        </w:rPr>
      </w:pPr>
    </w:p>
    <w:p w14:paraId="7CC76EBB" w14:textId="77777777" w:rsidR="005C0313" w:rsidRPr="00754E7A" w:rsidRDefault="005C0313" w:rsidP="005C0313">
      <w:pPr>
        <w:spacing w:after="70" w:line="290" w:lineRule="exact"/>
        <w:jc w:val="both"/>
        <w:rPr>
          <w:rFonts w:ascii="Aptos" w:hAnsi="Aptos"/>
        </w:rPr>
      </w:pPr>
      <w:r w:rsidRPr="00754E7A">
        <w:rPr>
          <w:rFonts w:ascii="Aptos" w:hAnsi="Aptos"/>
        </w:rPr>
        <w:t xml:space="preserve">Omfatter bevillingen to eller flere rater, udbetales senere rater ligeledes efter skriftlig anmodning indeholdende en erklæring om, at projektet forløber som planlagt. </w:t>
      </w:r>
    </w:p>
    <w:p w14:paraId="09F0098D" w14:textId="77777777" w:rsidR="005C0313" w:rsidRPr="00754E7A" w:rsidRDefault="005C0313" w:rsidP="005C0313">
      <w:pPr>
        <w:spacing w:after="70" w:line="290" w:lineRule="exact"/>
        <w:jc w:val="both"/>
        <w:rPr>
          <w:rFonts w:ascii="Aptos" w:hAnsi="Aptos"/>
        </w:rPr>
      </w:pPr>
    </w:p>
    <w:p w14:paraId="58AB2563" w14:textId="77777777" w:rsidR="005C0313" w:rsidRPr="00754E7A" w:rsidRDefault="005C0313" w:rsidP="005C0313">
      <w:pPr>
        <w:spacing w:after="70" w:line="290" w:lineRule="exact"/>
        <w:jc w:val="both"/>
        <w:rPr>
          <w:rFonts w:ascii="Aptos" w:hAnsi="Aptos"/>
        </w:rPr>
      </w:pPr>
      <w:r w:rsidRPr="00754E7A">
        <w:rPr>
          <w:rFonts w:ascii="Aptos" w:hAnsi="Aptos"/>
        </w:rPr>
        <w:t xml:space="preserve">Anviste beløb, der ikke straks anvendes, skal henstå på en særskilt konto i pengeinstituttet eller henstå i mellemregning med en regnskabsansvarlig institution/organisation med angivelse af, at indestående midler er reserveret til anvendelse til det konkrete projekt. </w:t>
      </w:r>
    </w:p>
    <w:p w14:paraId="38C62586" w14:textId="77777777" w:rsidR="005C0313" w:rsidRPr="00754E7A" w:rsidRDefault="005C0313" w:rsidP="005C0313">
      <w:pPr>
        <w:spacing w:after="70" w:line="290" w:lineRule="exact"/>
        <w:jc w:val="both"/>
        <w:rPr>
          <w:rFonts w:ascii="Aptos" w:hAnsi="Aptos"/>
        </w:rPr>
      </w:pPr>
    </w:p>
    <w:p w14:paraId="249A685D" w14:textId="77777777" w:rsidR="005C0313" w:rsidRPr="00754E7A" w:rsidRDefault="005C0313" w:rsidP="005C0313">
      <w:pPr>
        <w:spacing w:after="70" w:line="290" w:lineRule="exact"/>
        <w:jc w:val="both"/>
        <w:rPr>
          <w:rFonts w:ascii="Aptos" w:hAnsi="Aptos"/>
        </w:rPr>
      </w:pPr>
      <w:r w:rsidRPr="00754E7A">
        <w:rPr>
          <w:rFonts w:ascii="Aptos" w:hAnsi="Aptos"/>
        </w:rPr>
        <w:t xml:space="preserve">Påløbne renter må kun anvendes til formål, hvortil bevillingen er givet og inden for bevillingens ramme. </w:t>
      </w:r>
    </w:p>
    <w:p w14:paraId="52A273BA" w14:textId="77777777" w:rsidR="005C0313" w:rsidRPr="00754E7A" w:rsidRDefault="005C0313" w:rsidP="005C0313">
      <w:pPr>
        <w:spacing w:after="70" w:line="290" w:lineRule="exact"/>
        <w:jc w:val="both"/>
        <w:rPr>
          <w:rFonts w:ascii="Aptos" w:hAnsi="Aptos"/>
        </w:rPr>
      </w:pPr>
    </w:p>
    <w:p w14:paraId="3D3E8C66" w14:textId="77777777" w:rsidR="005C0313" w:rsidRPr="00754E7A" w:rsidRDefault="005C0313" w:rsidP="005C0313">
      <w:pPr>
        <w:spacing w:after="70" w:line="290" w:lineRule="exact"/>
        <w:jc w:val="both"/>
        <w:rPr>
          <w:rFonts w:ascii="Aptos" w:hAnsi="Aptos"/>
          <w:b/>
          <w:bCs/>
          <w:sz w:val="24"/>
          <w:szCs w:val="24"/>
        </w:rPr>
      </w:pPr>
      <w:r w:rsidRPr="00754E7A">
        <w:rPr>
          <w:rFonts w:ascii="Aptos" w:hAnsi="Aptos"/>
          <w:b/>
          <w:bCs/>
          <w:sz w:val="24"/>
          <w:szCs w:val="24"/>
        </w:rPr>
        <w:t xml:space="preserve">Aflæggelse af regnskab </w:t>
      </w:r>
    </w:p>
    <w:p w14:paraId="239CF920" w14:textId="77777777" w:rsidR="005C0313" w:rsidRPr="00754E7A" w:rsidRDefault="005C0313" w:rsidP="005C0313">
      <w:pPr>
        <w:spacing w:after="70" w:line="290" w:lineRule="exact"/>
        <w:jc w:val="both"/>
        <w:rPr>
          <w:rFonts w:ascii="Aptos" w:hAnsi="Aptos"/>
        </w:rPr>
      </w:pPr>
      <w:r w:rsidRPr="00754E7A">
        <w:rPr>
          <w:rFonts w:ascii="Aptos" w:hAnsi="Aptos"/>
        </w:rPr>
        <w:t xml:space="preserve">Der skal til Danske Regioner indsendes et dokumenteret regnskab med den regnskabsansvarlige institutions godkendte revisors underskrift for hver enkelt bevilling, selvom der måtte være givet flere bevillinger til samme formål. </w:t>
      </w:r>
    </w:p>
    <w:p w14:paraId="580E12D2" w14:textId="77777777" w:rsidR="005C0313" w:rsidRPr="00754E7A" w:rsidRDefault="005C0313" w:rsidP="005C0313">
      <w:pPr>
        <w:spacing w:after="70" w:line="290" w:lineRule="exact"/>
        <w:jc w:val="both"/>
        <w:rPr>
          <w:rFonts w:ascii="Aptos" w:hAnsi="Aptos"/>
        </w:rPr>
      </w:pPr>
    </w:p>
    <w:p w14:paraId="2EF4E618" w14:textId="77777777" w:rsidR="005C0313" w:rsidRPr="00754E7A" w:rsidRDefault="005C0313" w:rsidP="005C0313">
      <w:pPr>
        <w:spacing w:after="70" w:line="290" w:lineRule="exact"/>
        <w:jc w:val="both"/>
        <w:rPr>
          <w:rFonts w:ascii="Aptos" w:hAnsi="Aptos"/>
        </w:rPr>
      </w:pPr>
      <w:r w:rsidRPr="00754E7A">
        <w:rPr>
          <w:rFonts w:ascii="Aptos" w:hAnsi="Aptos"/>
        </w:rPr>
        <w:lastRenderedPageBreak/>
        <w:t xml:space="preserve">Er et projekt eller analyse medfinansieret fra andre kilder, skal regnskabet kun omfatte den bevilling, som er givet fra Danske Regioner. Regnskabet indsendes til Danske Regioner, når bevillingen er opbrugt, projektet er afsluttet eller projektet opgivet. </w:t>
      </w:r>
    </w:p>
    <w:p w14:paraId="042BFE77" w14:textId="77777777" w:rsidR="005C0313" w:rsidRPr="00754E7A" w:rsidRDefault="005C0313" w:rsidP="005C0313">
      <w:pPr>
        <w:spacing w:after="70" w:line="290" w:lineRule="exact"/>
        <w:jc w:val="both"/>
        <w:rPr>
          <w:rFonts w:ascii="Aptos" w:hAnsi="Aptos"/>
        </w:rPr>
      </w:pPr>
    </w:p>
    <w:p w14:paraId="26CDC33E" w14:textId="77777777" w:rsidR="005C0313" w:rsidRPr="00754E7A" w:rsidRDefault="005C0313" w:rsidP="005C0313">
      <w:pPr>
        <w:spacing w:after="70" w:line="290" w:lineRule="exact"/>
        <w:jc w:val="both"/>
        <w:rPr>
          <w:rFonts w:ascii="Aptos" w:hAnsi="Aptos"/>
        </w:rPr>
      </w:pPr>
      <w:r w:rsidRPr="00754E7A">
        <w:rPr>
          <w:rFonts w:ascii="Aptos" w:hAnsi="Aptos"/>
        </w:rPr>
        <w:t>Regnskabsposterne indføres i kronologisk orden, og regnskabsbilagene nummereres fortløbende i forbindelse med regnskabsføringen. Hvert enkelt bilag attesteres af bevillingshaveren (dvs. den projektansvarlige).</w:t>
      </w:r>
    </w:p>
    <w:p w14:paraId="3EC7FB37" w14:textId="77777777" w:rsidR="005C0313" w:rsidRPr="00754E7A" w:rsidRDefault="005C0313" w:rsidP="005C0313">
      <w:pPr>
        <w:spacing w:after="70" w:line="290" w:lineRule="exact"/>
        <w:jc w:val="both"/>
        <w:rPr>
          <w:rFonts w:ascii="Aptos" w:hAnsi="Aptos"/>
        </w:rPr>
      </w:pPr>
    </w:p>
    <w:p w14:paraId="18FD30B8" w14:textId="77777777" w:rsidR="005C0313" w:rsidRPr="00754E7A" w:rsidRDefault="005C0313" w:rsidP="005C0313">
      <w:pPr>
        <w:spacing w:after="70" w:line="290" w:lineRule="exact"/>
        <w:jc w:val="both"/>
        <w:rPr>
          <w:rFonts w:ascii="Aptos" w:hAnsi="Aptos"/>
        </w:rPr>
      </w:pPr>
      <w:r w:rsidRPr="00754E7A">
        <w:rPr>
          <w:rFonts w:ascii="Aptos" w:hAnsi="Aptos"/>
        </w:rPr>
        <w:t xml:space="preserve">Som indtægter bogføres modtagne beløb fra Danske Regioner og eventuelle indvundne renter. </w:t>
      </w:r>
    </w:p>
    <w:p w14:paraId="4442BE1D" w14:textId="77777777" w:rsidR="005C0313" w:rsidRPr="00754E7A" w:rsidRDefault="005C0313" w:rsidP="005C0313">
      <w:pPr>
        <w:spacing w:after="70" w:line="290" w:lineRule="exact"/>
        <w:jc w:val="both"/>
        <w:rPr>
          <w:rFonts w:ascii="Aptos" w:hAnsi="Aptos"/>
        </w:rPr>
      </w:pPr>
    </w:p>
    <w:p w14:paraId="4F842C03" w14:textId="77777777" w:rsidR="005C0313" w:rsidRPr="00754E7A" w:rsidRDefault="005C0313" w:rsidP="005C0313">
      <w:pPr>
        <w:spacing w:after="70" w:line="290" w:lineRule="exact"/>
        <w:jc w:val="both"/>
        <w:rPr>
          <w:rFonts w:ascii="Aptos" w:hAnsi="Aptos"/>
        </w:rPr>
      </w:pPr>
      <w:r w:rsidRPr="00754E7A">
        <w:rPr>
          <w:rFonts w:ascii="Aptos" w:hAnsi="Aptos"/>
        </w:rPr>
        <w:t xml:space="preserve">Udgiftsdokumentation skal så vidt muligt ske i form af </w:t>
      </w:r>
      <w:r w:rsidRPr="00754E7A">
        <w:rPr>
          <w:rFonts w:ascii="Aptos" w:hAnsi="Aptos"/>
          <w:b/>
          <w:bCs/>
        </w:rPr>
        <w:t>originale, kvitterede bilag</w:t>
      </w:r>
      <w:r w:rsidRPr="00754E7A">
        <w:rPr>
          <w:rFonts w:ascii="Aptos" w:hAnsi="Aptos"/>
        </w:rPr>
        <w:t xml:space="preserve">, der giver fyldestgørende oplysning om arten af de afholdte udgifter. Ved vederlag for arbejdsydelser skal der foreligge en af modtageren underskrevet kvittering, hvori såvel arbejdets omfang som de anvendte satser er anført. </w:t>
      </w:r>
    </w:p>
    <w:p w14:paraId="1C9941E3" w14:textId="77777777" w:rsidR="005C0313" w:rsidRPr="00754E7A" w:rsidRDefault="005C0313" w:rsidP="005C0313">
      <w:pPr>
        <w:spacing w:after="70" w:line="290" w:lineRule="exact"/>
        <w:jc w:val="both"/>
        <w:rPr>
          <w:rFonts w:ascii="Aptos" w:hAnsi="Aptos"/>
        </w:rPr>
      </w:pPr>
    </w:p>
    <w:p w14:paraId="3E81704A" w14:textId="77777777" w:rsidR="005C0313" w:rsidRPr="00754E7A" w:rsidRDefault="005C0313" w:rsidP="005C0313">
      <w:pPr>
        <w:spacing w:after="70" w:line="290" w:lineRule="exact"/>
        <w:jc w:val="both"/>
        <w:rPr>
          <w:rFonts w:ascii="Aptos" w:hAnsi="Aptos"/>
        </w:rPr>
      </w:pPr>
      <w:r w:rsidRPr="00754E7A">
        <w:rPr>
          <w:rFonts w:ascii="Aptos" w:hAnsi="Aptos"/>
        </w:rPr>
        <w:t xml:space="preserve">Som udgift opføres også eventuel tilbagebetaling til Danske Regioner. Kvittering for tilbagebetaling skal ikke indsendes med regnskabet. </w:t>
      </w:r>
    </w:p>
    <w:p w14:paraId="06BDA406" w14:textId="77777777" w:rsidR="005C0313" w:rsidRPr="00754E7A" w:rsidRDefault="005C0313" w:rsidP="005C0313">
      <w:pPr>
        <w:spacing w:after="70" w:line="290" w:lineRule="exact"/>
        <w:jc w:val="both"/>
        <w:rPr>
          <w:rFonts w:ascii="Aptos" w:hAnsi="Aptos"/>
        </w:rPr>
      </w:pPr>
    </w:p>
    <w:p w14:paraId="344A2531" w14:textId="77777777" w:rsidR="005C0313" w:rsidRPr="00754E7A" w:rsidRDefault="005C0313" w:rsidP="005C0313">
      <w:pPr>
        <w:spacing w:after="70" w:line="290" w:lineRule="exact"/>
        <w:jc w:val="both"/>
        <w:rPr>
          <w:rFonts w:ascii="Aptos" w:hAnsi="Aptos"/>
          <w:b/>
          <w:bCs/>
          <w:sz w:val="24"/>
          <w:szCs w:val="24"/>
        </w:rPr>
      </w:pPr>
      <w:r w:rsidRPr="00754E7A">
        <w:rPr>
          <w:rFonts w:ascii="Aptos" w:hAnsi="Aptos"/>
          <w:b/>
          <w:bCs/>
          <w:sz w:val="24"/>
          <w:szCs w:val="24"/>
        </w:rPr>
        <w:t xml:space="preserve">Specielt vedrørende bevillinger til lønninger, honorarer m.v. </w:t>
      </w:r>
    </w:p>
    <w:p w14:paraId="1B818652" w14:textId="77777777" w:rsidR="005C0313" w:rsidRPr="00754E7A" w:rsidRDefault="005C0313" w:rsidP="005C0313">
      <w:pPr>
        <w:spacing w:after="70" w:line="290" w:lineRule="exact"/>
        <w:jc w:val="both"/>
        <w:rPr>
          <w:rFonts w:ascii="Aptos" w:hAnsi="Aptos"/>
        </w:rPr>
      </w:pPr>
      <w:r w:rsidRPr="00754E7A">
        <w:rPr>
          <w:rFonts w:ascii="Aptos" w:hAnsi="Aptos"/>
        </w:rPr>
        <w:t xml:space="preserve">Det påhviler bevillingshaveren at sørge for indbetaling af pensionsbidrag, kildeskat, feriepenge, ATP-bidrag og lignende, hvor dette er hjemlet. </w:t>
      </w:r>
    </w:p>
    <w:p w14:paraId="530AB022" w14:textId="77777777" w:rsidR="005C0313" w:rsidRPr="00754E7A" w:rsidRDefault="005C0313" w:rsidP="005C0313">
      <w:pPr>
        <w:spacing w:after="70" w:line="290" w:lineRule="exact"/>
        <w:jc w:val="both"/>
        <w:rPr>
          <w:rFonts w:ascii="Aptos" w:hAnsi="Aptos"/>
        </w:rPr>
      </w:pPr>
    </w:p>
    <w:p w14:paraId="5C13F8F8" w14:textId="77777777" w:rsidR="005C0313" w:rsidRPr="00754E7A" w:rsidRDefault="005C0313" w:rsidP="005C0313">
      <w:pPr>
        <w:spacing w:after="70" w:line="290" w:lineRule="exact"/>
        <w:jc w:val="both"/>
        <w:rPr>
          <w:rFonts w:ascii="Aptos" w:hAnsi="Aptos"/>
        </w:rPr>
      </w:pPr>
      <w:r w:rsidRPr="00754E7A">
        <w:rPr>
          <w:rFonts w:ascii="Aptos" w:hAnsi="Aptos"/>
        </w:rPr>
        <w:t xml:space="preserve">Ved aflønning af medhjælp må satserne for tilsvarende arbejde i statens eller kommuners tjeneste ikke overskrides. Højere vederlag, herunder tillæg for overarbejde, accepteres kun, hvor det undtagelsesvist er hjemlet ved bevillingen. </w:t>
      </w:r>
    </w:p>
    <w:p w14:paraId="05431C29" w14:textId="77777777" w:rsidR="005C0313" w:rsidRPr="00754E7A" w:rsidRDefault="005C0313" w:rsidP="005C0313">
      <w:pPr>
        <w:spacing w:after="70" w:line="290" w:lineRule="exact"/>
        <w:jc w:val="both"/>
        <w:rPr>
          <w:rFonts w:ascii="Aptos" w:hAnsi="Aptos"/>
        </w:rPr>
      </w:pPr>
    </w:p>
    <w:p w14:paraId="7A9C111B" w14:textId="77777777" w:rsidR="005C0313" w:rsidRPr="00754E7A" w:rsidRDefault="005C0313" w:rsidP="005C0313">
      <w:pPr>
        <w:spacing w:after="70" w:line="290" w:lineRule="exact"/>
        <w:jc w:val="both"/>
        <w:rPr>
          <w:rFonts w:ascii="Aptos" w:hAnsi="Aptos"/>
          <w:sz w:val="24"/>
          <w:szCs w:val="24"/>
        </w:rPr>
      </w:pPr>
      <w:r w:rsidRPr="00754E7A">
        <w:rPr>
          <w:rFonts w:ascii="Aptos" w:hAnsi="Aptos"/>
          <w:b/>
          <w:bCs/>
          <w:sz w:val="24"/>
          <w:szCs w:val="24"/>
        </w:rPr>
        <w:t>Rejseudgifter mv.</w:t>
      </w:r>
      <w:r w:rsidRPr="00754E7A">
        <w:rPr>
          <w:rFonts w:ascii="Aptos" w:hAnsi="Aptos"/>
          <w:sz w:val="24"/>
          <w:szCs w:val="24"/>
        </w:rPr>
        <w:t xml:space="preserve"> </w:t>
      </w:r>
    </w:p>
    <w:p w14:paraId="50492C33" w14:textId="77777777" w:rsidR="005C0313" w:rsidRPr="00754E7A" w:rsidRDefault="005C0313" w:rsidP="005C0313">
      <w:pPr>
        <w:spacing w:after="70" w:line="290" w:lineRule="exact"/>
        <w:jc w:val="both"/>
        <w:rPr>
          <w:rFonts w:ascii="Aptos" w:hAnsi="Aptos"/>
        </w:rPr>
      </w:pPr>
      <w:r w:rsidRPr="00754E7A">
        <w:rPr>
          <w:rFonts w:ascii="Aptos" w:hAnsi="Aptos"/>
        </w:rPr>
        <w:t xml:space="preserve">Er der i bevillingen hjemmel til dækning af rejseudgifter, skal offentlige befordringsmidler anvendes, hvor det er muligt og mest økonomisk. Er der undtagelsesvist af særlige grunde givet bevilling til at benytte eget motorkøretøj, ydes kilometergodtgørelse efter reglerne om tjenestemænds benyttelse af eget befordringsmiddel på tjenesterejser (sats B). </w:t>
      </w:r>
    </w:p>
    <w:p w14:paraId="22316FE1" w14:textId="77777777" w:rsidR="005C0313" w:rsidRPr="00754E7A" w:rsidRDefault="005C0313" w:rsidP="005C0313">
      <w:pPr>
        <w:spacing w:after="70" w:line="290" w:lineRule="exact"/>
        <w:jc w:val="both"/>
        <w:rPr>
          <w:rFonts w:ascii="Aptos" w:hAnsi="Aptos"/>
        </w:rPr>
      </w:pPr>
    </w:p>
    <w:p w14:paraId="5D9DCBED" w14:textId="77777777" w:rsidR="005C0313" w:rsidRPr="00754E7A" w:rsidRDefault="005C0313" w:rsidP="005C0313">
      <w:pPr>
        <w:spacing w:after="70" w:line="290" w:lineRule="exact"/>
        <w:jc w:val="both"/>
        <w:rPr>
          <w:rFonts w:ascii="Aptos" w:hAnsi="Aptos"/>
        </w:rPr>
      </w:pPr>
      <w:r w:rsidRPr="00754E7A">
        <w:rPr>
          <w:rFonts w:ascii="Aptos" w:hAnsi="Aptos"/>
        </w:rPr>
        <w:t xml:space="preserve">Ved rejser </w:t>
      </w:r>
      <w:r w:rsidRPr="00754E7A">
        <w:rPr>
          <w:rFonts w:ascii="Aptos" w:hAnsi="Aptos"/>
          <w:b/>
          <w:bCs/>
        </w:rPr>
        <w:t xml:space="preserve">i Danmark </w:t>
      </w:r>
      <w:r w:rsidRPr="00754E7A">
        <w:rPr>
          <w:rFonts w:ascii="Aptos" w:hAnsi="Aptos"/>
        </w:rPr>
        <w:t xml:space="preserve">anvendes statens regler for time- og dagpenge. </w:t>
      </w:r>
      <w:r w:rsidRPr="00754E7A">
        <w:rPr>
          <w:rFonts w:ascii="Aptos" w:hAnsi="Aptos"/>
          <w:b/>
          <w:bCs/>
        </w:rPr>
        <w:t>Rejser i udlandet</w:t>
      </w:r>
      <w:r w:rsidRPr="00754E7A">
        <w:rPr>
          <w:rFonts w:ascii="Aptos" w:hAnsi="Aptos"/>
        </w:rPr>
        <w:t xml:space="preserve"> dækkes kun, hvis det fremgår af bevillingen, og skal i så fald foretages så økonomisk som muligt. Der ydes maksimalt de for tjenestemænd fastsatte godtgørelser ved tjenesteregler i udlandet. </w:t>
      </w:r>
    </w:p>
    <w:p w14:paraId="09A51DFD" w14:textId="77777777" w:rsidR="005C0313" w:rsidRPr="00754E7A" w:rsidRDefault="005C0313" w:rsidP="005C0313">
      <w:pPr>
        <w:spacing w:after="70" w:line="290" w:lineRule="exact"/>
        <w:jc w:val="both"/>
        <w:rPr>
          <w:rFonts w:ascii="Aptos" w:hAnsi="Aptos"/>
        </w:rPr>
      </w:pPr>
    </w:p>
    <w:p w14:paraId="1E7C330D" w14:textId="77777777" w:rsidR="005C0313" w:rsidRPr="00754E7A" w:rsidRDefault="005C0313" w:rsidP="005C0313">
      <w:pPr>
        <w:spacing w:after="70" w:line="290" w:lineRule="exact"/>
        <w:jc w:val="both"/>
        <w:rPr>
          <w:rFonts w:ascii="Aptos" w:hAnsi="Aptos"/>
        </w:rPr>
      </w:pPr>
      <w:r w:rsidRPr="00754E7A">
        <w:rPr>
          <w:rFonts w:ascii="Aptos" w:hAnsi="Aptos"/>
        </w:rPr>
        <w:lastRenderedPageBreak/>
        <w:t xml:space="preserve">Udgifter til </w:t>
      </w:r>
      <w:r w:rsidRPr="00754E7A">
        <w:rPr>
          <w:rFonts w:ascii="Aptos" w:hAnsi="Aptos"/>
          <w:b/>
          <w:bCs/>
        </w:rPr>
        <w:t xml:space="preserve">anskaffelse </w:t>
      </w:r>
      <w:r w:rsidRPr="00754E7A">
        <w:rPr>
          <w:rFonts w:ascii="Aptos" w:hAnsi="Aptos"/>
        </w:rPr>
        <w:t xml:space="preserve">af hjælpemidler, apparatur m.v. kan ikke dækkes af det bevilgede beløb med mindre, det har fremgået af ansøgningen. </w:t>
      </w:r>
    </w:p>
    <w:p w14:paraId="1DBF3FC8" w14:textId="77777777" w:rsidR="005C0313" w:rsidRPr="00754E7A" w:rsidRDefault="005C0313" w:rsidP="005C0313">
      <w:pPr>
        <w:spacing w:after="70" w:line="290" w:lineRule="exact"/>
        <w:jc w:val="both"/>
        <w:rPr>
          <w:rFonts w:ascii="Aptos" w:hAnsi="Aptos"/>
          <w:b/>
          <w:bCs/>
        </w:rPr>
      </w:pPr>
    </w:p>
    <w:p w14:paraId="300A2326" w14:textId="1E81B9F2" w:rsidR="002C63CB" w:rsidRDefault="002C63CB" w:rsidP="005C0313">
      <w:pPr>
        <w:spacing w:after="70" w:line="290" w:lineRule="exact"/>
        <w:jc w:val="both"/>
        <w:rPr>
          <w:rFonts w:ascii="Aptos" w:hAnsi="Aptos"/>
          <w:b/>
          <w:bCs/>
          <w:sz w:val="24"/>
          <w:szCs w:val="24"/>
        </w:rPr>
      </w:pPr>
      <w:r>
        <w:rPr>
          <w:rFonts w:ascii="Aptos" w:hAnsi="Aptos"/>
          <w:b/>
          <w:bCs/>
          <w:sz w:val="24"/>
          <w:szCs w:val="24"/>
        </w:rPr>
        <w:t>Projektforlængelser</w:t>
      </w:r>
    </w:p>
    <w:p w14:paraId="04A4FFF9" w14:textId="16533235" w:rsidR="002C63CB" w:rsidRPr="002C63CB" w:rsidRDefault="002C63CB" w:rsidP="005C0313">
      <w:pPr>
        <w:spacing w:after="70" w:line="290" w:lineRule="exact"/>
        <w:jc w:val="both"/>
        <w:rPr>
          <w:rFonts w:ascii="Aptos" w:hAnsi="Aptos"/>
        </w:rPr>
      </w:pPr>
      <w:r w:rsidRPr="002C63CB">
        <w:rPr>
          <w:rFonts w:ascii="Aptos" w:hAnsi="Aptos"/>
        </w:rPr>
        <w:t xml:space="preserve">I tilfælde af, at et </w:t>
      </w:r>
      <w:r>
        <w:rPr>
          <w:rFonts w:ascii="Aptos" w:hAnsi="Aptos"/>
        </w:rPr>
        <w:t>projekt ønsker at ændre herunder forlænge projektperioden, skal der til Danske Regioner anmodes om projektforlængelse.</w:t>
      </w:r>
    </w:p>
    <w:p w14:paraId="7DE12432" w14:textId="77777777" w:rsidR="002C63CB" w:rsidRDefault="002C63CB" w:rsidP="005C0313">
      <w:pPr>
        <w:spacing w:after="70" w:line="290" w:lineRule="exact"/>
        <w:jc w:val="both"/>
        <w:rPr>
          <w:rFonts w:ascii="Aptos" w:hAnsi="Aptos"/>
          <w:b/>
          <w:bCs/>
          <w:sz w:val="24"/>
          <w:szCs w:val="24"/>
        </w:rPr>
      </w:pPr>
    </w:p>
    <w:p w14:paraId="4CFEAF20" w14:textId="0FF3250D" w:rsidR="005C0313" w:rsidRPr="00754E7A" w:rsidRDefault="005C0313" w:rsidP="005C0313">
      <w:pPr>
        <w:spacing w:after="70" w:line="290" w:lineRule="exact"/>
        <w:jc w:val="both"/>
        <w:rPr>
          <w:rFonts w:ascii="Aptos" w:hAnsi="Aptos"/>
          <w:sz w:val="24"/>
          <w:szCs w:val="24"/>
        </w:rPr>
      </w:pPr>
      <w:r w:rsidRPr="00754E7A">
        <w:rPr>
          <w:rFonts w:ascii="Aptos" w:hAnsi="Aptos"/>
          <w:b/>
          <w:bCs/>
          <w:sz w:val="24"/>
          <w:szCs w:val="24"/>
        </w:rPr>
        <w:t>Bortfald af bevillingen</w:t>
      </w:r>
      <w:r w:rsidRPr="00754E7A">
        <w:rPr>
          <w:rFonts w:ascii="Aptos" w:hAnsi="Aptos"/>
          <w:sz w:val="24"/>
          <w:szCs w:val="24"/>
        </w:rPr>
        <w:t xml:space="preserve"> </w:t>
      </w:r>
    </w:p>
    <w:p w14:paraId="619145CD" w14:textId="77777777" w:rsidR="005C0313" w:rsidRPr="00754E7A" w:rsidRDefault="005C0313" w:rsidP="005C0313">
      <w:pPr>
        <w:spacing w:after="70" w:line="290" w:lineRule="exact"/>
        <w:jc w:val="both"/>
        <w:rPr>
          <w:rFonts w:ascii="Aptos" w:hAnsi="Aptos" w:cs="Arial"/>
          <w:sz w:val="24"/>
          <w:szCs w:val="24"/>
        </w:rPr>
      </w:pPr>
      <w:r w:rsidRPr="00754E7A">
        <w:rPr>
          <w:rFonts w:ascii="Aptos" w:hAnsi="Aptos"/>
        </w:rPr>
        <w:t xml:space="preserve">I tilfælde af, at et projekt </w:t>
      </w:r>
      <w:r w:rsidRPr="00754E7A">
        <w:rPr>
          <w:rFonts w:ascii="Aptos" w:hAnsi="Aptos"/>
          <w:b/>
          <w:bCs/>
        </w:rPr>
        <w:t>ikke er påbegyndt inden 6 måneder efter tilsagnet</w:t>
      </w:r>
      <w:r w:rsidRPr="00754E7A">
        <w:rPr>
          <w:rFonts w:ascii="Aptos" w:hAnsi="Aptos"/>
        </w:rPr>
        <w:t>, eller en bevilling ikke er fuldt opbrugt inden udgangen af den i projektet angivne tidsramme, bortfalder bevillingen, henholdsvis restbevillingen, og bevillingshaveren skal tilbagebetale anviste beløb, der ikke er brugt, inklusive påløbne renter til Danske Regioner.</w:t>
      </w:r>
    </w:p>
    <w:p w14:paraId="34AB0B3F" w14:textId="77777777" w:rsidR="005C0313" w:rsidRPr="001A78DE" w:rsidRDefault="005C0313" w:rsidP="00992CB5">
      <w:pPr>
        <w:spacing w:after="70" w:line="290" w:lineRule="exact"/>
        <w:jc w:val="both"/>
        <w:rPr>
          <w:rFonts w:cs="Arial"/>
          <w:sz w:val="24"/>
          <w:szCs w:val="24"/>
        </w:rPr>
      </w:pPr>
    </w:p>
    <w:sectPr w:rsidR="005C0313" w:rsidRPr="001A78DE" w:rsidSect="00CD7DAE">
      <w:headerReference w:type="default" r:id="rId10"/>
      <w:footerReference w:type="default" r:id="rId11"/>
      <w:headerReference w:type="first" r:id="rId12"/>
      <w:footerReference w:type="first" r:id="rId13"/>
      <w:pgSz w:w="11906" w:h="16838"/>
      <w:pgMar w:top="1814" w:right="3119" w:bottom="147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55B8" w14:textId="77777777" w:rsidR="005C0313" w:rsidRDefault="005C0313">
      <w:pPr>
        <w:spacing w:after="0" w:line="240" w:lineRule="auto"/>
      </w:pPr>
      <w:r>
        <w:separator/>
      </w:r>
    </w:p>
  </w:endnote>
  <w:endnote w:type="continuationSeparator" w:id="0">
    <w:p w14:paraId="56D855BA" w14:textId="77777777" w:rsidR="005C0313" w:rsidRDefault="005C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418537"/>
      <w:docPartObj>
        <w:docPartGallery w:val="Page Numbers (Bottom of Page)"/>
        <w:docPartUnique/>
      </w:docPartObj>
    </w:sdtPr>
    <w:sdtEndPr/>
    <w:sdtContent>
      <w:p w14:paraId="56D855AD" w14:textId="77777777" w:rsidR="00676651" w:rsidRDefault="005C0313">
        <w:pPr>
          <w:pStyle w:val="Sidefod"/>
          <w:jc w:val="right"/>
        </w:pPr>
        <w:r>
          <w:fldChar w:fldCharType="begin"/>
        </w:r>
        <w:r>
          <w:instrText>PAGE   \* MERGEFORMAT</w:instrText>
        </w:r>
        <w:r>
          <w:fldChar w:fldCharType="separate"/>
        </w:r>
        <w:r>
          <w:rPr>
            <w:noProof/>
          </w:rPr>
          <w:t>2</w:t>
        </w:r>
        <w:r>
          <w:fldChar w:fldCharType="end"/>
        </w:r>
      </w:p>
    </w:sdtContent>
  </w:sdt>
  <w:p w14:paraId="56D855AE" w14:textId="77777777" w:rsidR="00676651" w:rsidRDefault="0067665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386577"/>
      <w:docPartObj>
        <w:docPartGallery w:val="Page Numbers (Bottom of Page)"/>
        <w:docPartUnique/>
      </w:docPartObj>
    </w:sdtPr>
    <w:sdtEndPr/>
    <w:sdtContent>
      <w:p w14:paraId="56D855B2" w14:textId="77777777" w:rsidR="00B935CF" w:rsidRDefault="005C0313">
        <w:pPr>
          <w:pStyle w:val="Sidefod"/>
          <w:jc w:val="right"/>
        </w:pPr>
        <w:r>
          <w:fldChar w:fldCharType="begin"/>
        </w:r>
        <w:r>
          <w:instrText>PAGE   \* MERGEFORMAT</w:instrText>
        </w:r>
        <w:r>
          <w:fldChar w:fldCharType="separate"/>
        </w:r>
        <w:r w:rsidR="00676651">
          <w:rPr>
            <w:noProof/>
          </w:rPr>
          <w:t>1</w:t>
        </w:r>
        <w:r>
          <w:fldChar w:fldCharType="end"/>
        </w:r>
      </w:p>
    </w:sdtContent>
  </w:sdt>
  <w:p w14:paraId="56D855B3" w14:textId="77777777" w:rsidR="009D35C7" w:rsidRDefault="009D35C7" w:rsidP="009D35C7">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55B4" w14:textId="77777777" w:rsidR="005C0313" w:rsidRDefault="005C0313">
      <w:pPr>
        <w:spacing w:after="0" w:line="240" w:lineRule="auto"/>
      </w:pPr>
      <w:r>
        <w:separator/>
      </w:r>
    </w:p>
  </w:footnote>
  <w:footnote w:type="continuationSeparator" w:id="0">
    <w:p w14:paraId="56D855B6" w14:textId="77777777" w:rsidR="005C0313" w:rsidRDefault="005C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55AC" w14:textId="77777777" w:rsidR="0082423A" w:rsidRDefault="005C0313" w:rsidP="00955557">
    <w:pPr>
      <w:pStyle w:val="Sidehoved"/>
      <w:tabs>
        <w:tab w:val="clear" w:pos="4819"/>
        <w:tab w:val="clear" w:pos="9638"/>
        <w:tab w:val="left" w:pos="7653"/>
      </w:tabs>
      <w:ind w:left="8220"/>
    </w:pPr>
    <w:r>
      <w:t xml:space="preserve">   </w:t>
    </w:r>
    <w:r>
      <w:rPr>
        <w:noProof/>
        <w:lang w:eastAsia="da-DK"/>
      </w:rPr>
      <mc:AlternateContent>
        <mc:Choice Requires="wps">
          <w:drawing>
            <wp:anchor distT="45720" distB="45720" distL="114300" distR="114300" simplePos="0" relativeHeight="251658240" behindDoc="0" locked="0" layoutInCell="1" allowOverlap="1" wp14:anchorId="56D855B4" wp14:editId="56D855B5">
              <wp:simplePos x="0" y="0"/>
              <wp:positionH relativeFrom="column">
                <wp:posOffset>5127625</wp:posOffset>
              </wp:positionH>
              <wp:positionV relativeFrom="paragraph">
                <wp:posOffset>2409825</wp:posOffset>
              </wp:positionV>
              <wp:extent cx="1476375" cy="1720215"/>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20215"/>
                      </a:xfrm>
                      <a:prstGeom prst="rect">
                        <a:avLst/>
                      </a:prstGeom>
                      <a:solidFill>
                        <a:srgbClr val="FFFFFF"/>
                      </a:solidFill>
                      <a:ln w="9525">
                        <a:noFill/>
                        <a:miter lim="800000"/>
                        <a:headEnd/>
                        <a:tailEnd/>
                      </a:ln>
                    </wps:spPr>
                    <wps:txbx>
                      <w:txbxContent>
                        <w:p w14:paraId="56D855BB" w14:textId="77777777" w:rsidR="00672ABD" w:rsidRPr="006B7ED4" w:rsidRDefault="00672ABD" w:rsidP="00992CB5">
                          <w:pPr>
                            <w:spacing w:after="0" w:line="290" w:lineRule="exact"/>
                            <w:rPr>
                              <w:rFonts w:ascii="Times New Roman" w:eastAsia="Times New Roman" w:hAnsi="Times New Roman" w:cs="Times New Roman"/>
                              <w:sz w:val="18"/>
                              <w:szCs w:val="20"/>
                              <w:lang w:eastAsia="da-DK"/>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16.25pt;height:110.6pt;margin-top:189.75pt;margin-left:403.75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672ABD" w:rsidRPr="006B7ED4" w:rsidP="00992CB5" w14:paraId="20B54974" w14:textId="77777777">
                    <w:pPr>
                      <w:spacing w:after="0" w:line="290" w:lineRule="exact"/>
                      <w:rPr>
                        <w:rFonts w:ascii="Times New Roman" w:eastAsia="Times New Roman" w:hAnsi="Times New Roman" w:cs="Times New Roman"/>
                        <w:sz w:val="18"/>
                        <w:szCs w:val="20"/>
                        <w:lang w:eastAsia="da-DK"/>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55AF" w14:textId="77777777" w:rsidR="008B0B1C" w:rsidRDefault="008B0B1C" w:rsidP="00725A8F">
    <w:pPr>
      <w:pStyle w:val="Sidehoved"/>
      <w:tabs>
        <w:tab w:val="clear" w:pos="4819"/>
        <w:tab w:val="clear" w:pos="9638"/>
        <w:tab w:val="left" w:pos="7653"/>
      </w:tabs>
      <w:ind w:left="8220"/>
    </w:pPr>
  </w:p>
  <w:p w14:paraId="56D855B0" w14:textId="668BEB59" w:rsidR="00CD7DAE" w:rsidRDefault="005C0313" w:rsidP="00725A8F">
    <w:pPr>
      <w:pStyle w:val="Sidehoved"/>
      <w:tabs>
        <w:tab w:val="clear" w:pos="4819"/>
        <w:tab w:val="clear" w:pos="9638"/>
        <w:tab w:val="left" w:pos="7653"/>
      </w:tabs>
      <w:ind w:left="8220"/>
    </w:pPr>
    <w:r>
      <w:rPr>
        <w:noProof/>
        <w:lang w:eastAsia="da-DK"/>
      </w:rPr>
      <mc:AlternateContent>
        <mc:Choice Requires="wps">
          <w:drawing>
            <wp:anchor distT="45720" distB="45720" distL="114300" distR="114300" simplePos="0" relativeHeight="251662336" behindDoc="0" locked="0" layoutInCell="1" allowOverlap="1" wp14:anchorId="56D855B7" wp14:editId="390F4EDA">
              <wp:simplePos x="0" y="0"/>
              <wp:positionH relativeFrom="margin">
                <wp:posOffset>-100966</wp:posOffset>
              </wp:positionH>
              <wp:positionV relativeFrom="paragraph">
                <wp:posOffset>1143635</wp:posOffset>
              </wp:positionV>
              <wp:extent cx="3324225" cy="1720850"/>
              <wp:effectExtent l="0" t="0" r="9525"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20850"/>
                      </a:xfrm>
                      <a:prstGeom prst="rect">
                        <a:avLst/>
                      </a:prstGeom>
                      <a:solidFill>
                        <a:srgbClr val="FFFFFF"/>
                      </a:solidFill>
                      <a:ln w="9525">
                        <a:noFill/>
                        <a:miter lim="800000"/>
                        <a:headEnd/>
                        <a:tailEnd/>
                      </a:ln>
                    </wps:spPr>
                    <wps:txbx>
                      <w:txbxContent>
                        <w:p w14:paraId="56D855BC" w14:textId="48E96924" w:rsidR="00D2231B" w:rsidRPr="005C0313" w:rsidRDefault="005C0313">
                          <w:pPr>
                            <w:rPr>
                              <w:rFonts w:ascii="Aptos" w:hAnsi="Aptos"/>
                              <w:b/>
                              <w:sz w:val="24"/>
                              <w:szCs w:val="24"/>
                              <w:lang w:val="en-US"/>
                            </w:rPr>
                          </w:pPr>
                          <w:proofErr w:type="spellStart"/>
                          <w:r w:rsidRPr="005C0313">
                            <w:rPr>
                              <w:rFonts w:ascii="Aptos" w:hAnsi="Aptos"/>
                              <w:b/>
                              <w:sz w:val="24"/>
                              <w:szCs w:val="24"/>
                              <w:lang w:val="en-US"/>
                            </w:rPr>
                            <w:t>Regionernes</w:t>
                          </w:r>
                          <w:proofErr w:type="spellEnd"/>
                          <w:r w:rsidRPr="005C0313">
                            <w:rPr>
                              <w:rFonts w:ascii="Aptos" w:hAnsi="Aptos"/>
                              <w:b/>
                              <w:sz w:val="24"/>
                              <w:szCs w:val="24"/>
                              <w:lang w:val="en-US"/>
                            </w:rPr>
                            <w:t xml:space="preserve"> </w:t>
                          </w:r>
                          <w:proofErr w:type="spellStart"/>
                          <w:r w:rsidRPr="005C0313">
                            <w:rPr>
                              <w:rFonts w:ascii="Aptos" w:hAnsi="Aptos"/>
                              <w:b/>
                              <w:sz w:val="24"/>
                              <w:szCs w:val="24"/>
                              <w:lang w:val="en-US"/>
                            </w:rPr>
                            <w:t>Medicin</w:t>
                          </w:r>
                          <w:proofErr w:type="spellEnd"/>
                          <w:r w:rsidRPr="005C0313">
                            <w:rPr>
                              <w:rFonts w:ascii="Aptos" w:hAnsi="Aptos"/>
                              <w:b/>
                              <w:sz w:val="24"/>
                              <w:szCs w:val="24"/>
                              <w:lang w:val="en-US"/>
                            </w:rPr>
                            <w:t xml:space="preserve">- </w:t>
                          </w:r>
                          <w:proofErr w:type="spellStart"/>
                          <w:r w:rsidRPr="005C0313">
                            <w:rPr>
                              <w:rFonts w:ascii="Aptos" w:hAnsi="Aptos"/>
                              <w:b/>
                              <w:sz w:val="24"/>
                              <w:szCs w:val="24"/>
                              <w:lang w:val="en-US"/>
                            </w:rPr>
                            <w:t>og</w:t>
                          </w:r>
                          <w:proofErr w:type="spellEnd"/>
                          <w:r w:rsidRPr="005C0313">
                            <w:rPr>
                              <w:rFonts w:ascii="Aptos" w:hAnsi="Aptos"/>
                              <w:b/>
                              <w:sz w:val="24"/>
                              <w:szCs w:val="24"/>
                              <w:lang w:val="en-US"/>
                            </w:rPr>
                            <w:t xml:space="preserve"> </w:t>
                          </w:r>
                          <w:proofErr w:type="spellStart"/>
                          <w:r w:rsidR="00643AE7">
                            <w:rPr>
                              <w:rFonts w:ascii="Aptos" w:hAnsi="Aptos"/>
                              <w:b/>
                              <w:sz w:val="24"/>
                              <w:szCs w:val="24"/>
                              <w:lang w:val="en-US"/>
                            </w:rPr>
                            <w:t>B</w:t>
                          </w:r>
                          <w:r w:rsidRPr="005C0313">
                            <w:rPr>
                              <w:rFonts w:ascii="Aptos" w:hAnsi="Aptos"/>
                              <w:b/>
                              <w:sz w:val="24"/>
                              <w:szCs w:val="24"/>
                              <w:lang w:val="en-US"/>
                            </w:rPr>
                            <w:t>ehandlingspulje</w:t>
                          </w:r>
                          <w:proofErr w:type="spellEnd"/>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855B7" id="_x0000_t202" coordsize="21600,21600" o:spt="202" path="m,l,21600r21600,l21600,xe">
              <v:stroke joinstyle="miter"/>
              <v:path gradientshapeok="t" o:connecttype="rect"/>
            </v:shapetype>
            <v:shape id="Tekstfelt 2" o:spid="_x0000_s1027" type="#_x0000_t202" style="position:absolute;left:0;text-align:left;margin-left:-7.95pt;margin-top:90.05pt;width:261.75pt;height:135.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" stroked="f">
              <v:textbox style="mso-fit-shape-to-text:t">
                <w:txbxContent>
                  <w:p w14:paraId="56D855BC" w14:textId="48E96924" w:rsidR="00D2231B" w:rsidRPr="005C0313" w:rsidRDefault="005C0313">
                    <w:pPr>
                      <w:rPr>
                        <w:rFonts w:ascii="Aptos" w:hAnsi="Aptos"/>
                        <w:b/>
                        <w:sz w:val="24"/>
                        <w:szCs w:val="24"/>
                        <w:lang w:val="en-US"/>
                      </w:rPr>
                    </w:pPr>
                    <w:r w:rsidRPr="005C0313">
                      <w:rPr>
                        <w:rFonts w:ascii="Aptos" w:hAnsi="Aptos"/>
                        <w:b/>
                        <w:sz w:val="24"/>
                        <w:szCs w:val="24"/>
                        <w:lang w:val="en-US"/>
                      </w:rPr>
                      <w:t xml:space="preserve">Regionernes </w:t>
                    </w:r>
                    <w:proofErr w:type="spellStart"/>
                    <w:r w:rsidRPr="005C0313">
                      <w:rPr>
                        <w:rFonts w:ascii="Aptos" w:hAnsi="Aptos"/>
                        <w:b/>
                        <w:sz w:val="24"/>
                        <w:szCs w:val="24"/>
                        <w:lang w:val="en-US"/>
                      </w:rPr>
                      <w:t>Medicin</w:t>
                    </w:r>
                    <w:proofErr w:type="spellEnd"/>
                    <w:r w:rsidRPr="005C0313">
                      <w:rPr>
                        <w:rFonts w:ascii="Aptos" w:hAnsi="Aptos"/>
                        <w:b/>
                        <w:sz w:val="24"/>
                        <w:szCs w:val="24"/>
                        <w:lang w:val="en-US"/>
                      </w:rPr>
                      <w:t xml:space="preserve">- og </w:t>
                    </w:r>
                    <w:proofErr w:type="spellStart"/>
                    <w:r w:rsidR="00643AE7">
                      <w:rPr>
                        <w:rFonts w:ascii="Aptos" w:hAnsi="Aptos"/>
                        <w:b/>
                        <w:sz w:val="24"/>
                        <w:szCs w:val="24"/>
                        <w:lang w:val="en-US"/>
                      </w:rPr>
                      <w:t>B</w:t>
                    </w:r>
                    <w:r w:rsidRPr="005C0313">
                      <w:rPr>
                        <w:rFonts w:ascii="Aptos" w:hAnsi="Aptos"/>
                        <w:b/>
                        <w:sz w:val="24"/>
                        <w:szCs w:val="24"/>
                        <w:lang w:val="en-US"/>
                      </w:rPr>
                      <w:t>ehandlingspulje</w:t>
                    </w:r>
                    <w:proofErr w:type="spellEnd"/>
                  </w:p>
                </w:txbxContent>
              </v:textbox>
              <w10:wrap anchorx="margin"/>
            </v:shape>
          </w:pict>
        </mc:Fallback>
      </mc:AlternateContent>
    </w:r>
    <w:r w:rsidR="00EC1D99">
      <w:pict w14:anchorId="56D85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169.55pt;mso-width-relative:page;mso-height-relative:page">
          <v:imagedata r:id="rId1" o:title="DKlogo til brev§-01"/>
        </v:shape>
      </w:pict>
    </w:r>
    <w:r w:rsidR="00651E71">
      <w:t xml:space="preserve">   </w:t>
    </w:r>
    <w:r w:rsidR="00651E71">
      <w:rPr>
        <w:noProof/>
        <w:lang w:eastAsia="da-DK"/>
      </w:rPr>
      <mc:AlternateContent>
        <mc:Choice Requires="wps">
          <w:drawing>
            <wp:anchor distT="45720" distB="45720" distL="114300" distR="114300" simplePos="0" relativeHeight="251661312" behindDoc="0" locked="0" layoutInCell="1" allowOverlap="1" wp14:anchorId="56D855B9" wp14:editId="56D855BA">
              <wp:simplePos x="0" y="0"/>
              <wp:positionH relativeFrom="column">
                <wp:posOffset>5127625</wp:posOffset>
              </wp:positionH>
              <wp:positionV relativeFrom="paragraph">
                <wp:posOffset>2409825</wp:posOffset>
              </wp:positionV>
              <wp:extent cx="1476375" cy="1720215"/>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20215"/>
                      </a:xfrm>
                      <a:prstGeom prst="rect">
                        <a:avLst/>
                      </a:prstGeom>
                      <a:solidFill>
                        <a:srgbClr val="FFFFFF"/>
                      </a:solidFill>
                      <a:ln w="9525">
                        <a:noFill/>
                        <a:miter lim="800000"/>
                        <a:headEnd/>
                        <a:tailEnd/>
                      </a:ln>
                    </wps:spPr>
                    <wps:txbx>
                      <w:txbxContent>
                        <w:p w14:paraId="56D855BD" w14:textId="15EA0F23" w:rsidR="004E3E3B" w:rsidRDefault="005C0313"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sidR="00A77B92">
                            <w:rPr>
                              <w:rFonts w:eastAsia="Times New Roman" w:cs="Times New Roman"/>
                              <w:noProof/>
                              <w:sz w:val="18"/>
                              <w:szCs w:val="18"/>
                              <w:lang w:eastAsia="da-DK"/>
                            </w:rPr>
                            <w:t>28-02-2024</w:t>
                          </w:r>
                          <w:r>
                            <w:rPr>
                              <w:rFonts w:eastAsia="Times New Roman" w:cs="Times New Roman"/>
                              <w:sz w:val="18"/>
                              <w:szCs w:val="18"/>
                              <w:lang w:eastAsia="da-DK"/>
                            </w:rPr>
                            <w:fldChar w:fldCharType="end"/>
                          </w:r>
                        </w:p>
                        <w:p w14:paraId="56D855BE" w14:textId="77777777" w:rsidR="00EA6854" w:rsidRDefault="005C0313"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EMN-2023-01123</w:t>
                          </w:r>
                        </w:p>
                        <w:sdt>
                          <w:sdtPr>
                            <w:rPr>
                              <w:rFonts w:eastAsia="Times New Roman" w:cs="Times New Roman"/>
                              <w:sz w:val="18"/>
                              <w:szCs w:val="18"/>
                              <w:lang w:eastAsia="da-DK"/>
                            </w:rPr>
                            <w:alias w:val="Dok ID"/>
                            <w:tag w:val="DocID"/>
                            <w:id w:val="1137580678"/>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56D855BF" w14:textId="76671BB4" w:rsidR="004E3E3B" w:rsidRDefault="005C0313"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1687373</w:t>
                              </w:r>
                            </w:p>
                          </w:sdtContent>
                        </w:sdt>
                        <w:p w14:paraId="56D855C0" w14:textId="4D7D790D" w:rsidR="00095CB2" w:rsidRPr="004E3E3B" w:rsidRDefault="005C0313"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sidR="00A77B92">
                            <w:rPr>
                              <w:rFonts w:eastAsia="Times New Roman" w:cs="Times New Roman"/>
                              <w:sz w:val="18"/>
                              <w:szCs w:val="18"/>
                              <w:lang w:eastAsia="da-DK"/>
                            </w:rPr>
                            <w:t>Jessica Sunday Buckland</w:t>
                          </w:r>
                          <w:r>
                            <w:rPr>
                              <w:rFonts w:eastAsia="Times New Roman" w:cs="Times New Roman"/>
                              <w:sz w:val="18"/>
                              <w:szCs w:val="18"/>
                              <w:lang w:eastAsia="da-DK"/>
                            </w:rPr>
                            <w:fldChar w:fldCharType="end"/>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855B9" id="_x0000_t202" coordsize="21600,21600" o:spt="202" path="m,l,21600r21600,l21600,xe">
              <v:stroke joinstyle="miter"/>
              <v:path gradientshapeok="t" o:connecttype="rect"/>
            </v:shapetype>
            <v:shape id="_x0000_s1028" type="#_x0000_t202" style="position:absolute;left:0;text-align:left;margin-left:403.75pt;margin-top:189.75pt;width:116.25pt;height:135.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" stroked="f">
              <v:textbox style="mso-fit-shape-to-text:t">
                <w:txbxContent>
                  <w:p w14:paraId="56D855BD" w14:textId="15EA0F23" w:rsidR="004E3E3B" w:rsidRDefault="005C0313"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sidR="00A77B92">
                      <w:rPr>
                        <w:rFonts w:eastAsia="Times New Roman" w:cs="Times New Roman"/>
                        <w:noProof/>
                        <w:sz w:val="18"/>
                        <w:szCs w:val="18"/>
                        <w:lang w:eastAsia="da-DK"/>
                      </w:rPr>
                      <w:t>28-02-2024</w:t>
                    </w:r>
                    <w:r>
                      <w:rPr>
                        <w:rFonts w:eastAsia="Times New Roman" w:cs="Times New Roman"/>
                        <w:sz w:val="18"/>
                        <w:szCs w:val="18"/>
                        <w:lang w:eastAsia="da-DK"/>
                      </w:rPr>
                      <w:fldChar w:fldCharType="end"/>
                    </w:r>
                  </w:p>
                  <w:p w14:paraId="56D855BE" w14:textId="77777777" w:rsidR="00EA6854" w:rsidRDefault="005C0313"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EMN-2023-01123</w:t>
                    </w:r>
                  </w:p>
                  <w:sdt>
                    <w:sdtPr>
                      <w:rPr>
                        <w:rFonts w:eastAsia="Times New Roman" w:cs="Times New Roman"/>
                        <w:sz w:val="18"/>
                        <w:szCs w:val="18"/>
                        <w:lang w:eastAsia="da-DK"/>
                      </w:rPr>
                      <w:alias w:val="Dok ID"/>
                      <w:tag w:val="DocID"/>
                      <w:id w:val="1137580678"/>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56D855BF" w14:textId="76671BB4" w:rsidR="004E3E3B" w:rsidRDefault="005C0313"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1687373</w:t>
                        </w:r>
                      </w:p>
                    </w:sdtContent>
                  </w:sdt>
                  <w:p w14:paraId="56D855C0" w14:textId="4D7D790D" w:rsidR="00095CB2" w:rsidRPr="004E3E3B" w:rsidRDefault="005C0313"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sidR="00A77B92">
                      <w:rPr>
                        <w:rFonts w:eastAsia="Times New Roman" w:cs="Times New Roman"/>
                        <w:sz w:val="18"/>
                        <w:szCs w:val="18"/>
                        <w:lang w:eastAsia="da-DK"/>
                      </w:rPr>
                      <w:t>Jessica Sunday Buckland</w:t>
                    </w:r>
                    <w:r>
                      <w:rPr>
                        <w:rFonts w:eastAsia="Times New Roman" w:cs="Times New Roman"/>
                        <w:sz w:val="18"/>
                        <w:szCs w:val="18"/>
                        <w:lang w:eastAsia="da-DK"/>
                      </w:rPr>
                      <w:fldChar w:fldCharType="end"/>
                    </w:r>
                  </w:p>
                </w:txbxContent>
              </v:textbox>
              <w10:wrap type="square"/>
            </v:shape>
          </w:pict>
        </mc:Fallback>
      </mc:AlternateContent>
    </w:r>
  </w:p>
  <w:p w14:paraId="56D855B1" w14:textId="77777777" w:rsidR="00CD7DAE" w:rsidRDefault="00CD7DA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F6"/>
    <w:rsid w:val="00095CB2"/>
    <w:rsid w:val="000C759B"/>
    <w:rsid w:val="001355D0"/>
    <w:rsid w:val="00155436"/>
    <w:rsid w:val="001909AC"/>
    <w:rsid w:val="001A78DE"/>
    <w:rsid w:val="002931A0"/>
    <w:rsid w:val="002C63CB"/>
    <w:rsid w:val="00345716"/>
    <w:rsid w:val="004E3E3B"/>
    <w:rsid w:val="005C0313"/>
    <w:rsid w:val="005C5173"/>
    <w:rsid w:val="00643AE7"/>
    <w:rsid w:val="00651E71"/>
    <w:rsid w:val="00672ABD"/>
    <w:rsid w:val="00676651"/>
    <w:rsid w:val="006B7ED4"/>
    <w:rsid w:val="00725A8F"/>
    <w:rsid w:val="0082423A"/>
    <w:rsid w:val="00877EF6"/>
    <w:rsid w:val="008B0B1C"/>
    <w:rsid w:val="00955557"/>
    <w:rsid w:val="00961100"/>
    <w:rsid w:val="00992CB5"/>
    <w:rsid w:val="009D35C7"/>
    <w:rsid w:val="00A77B92"/>
    <w:rsid w:val="00B935CF"/>
    <w:rsid w:val="00C724D6"/>
    <w:rsid w:val="00CD7DAE"/>
    <w:rsid w:val="00D2231B"/>
    <w:rsid w:val="00DC291B"/>
    <w:rsid w:val="00EA6854"/>
    <w:rsid w:val="00EC1D9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855A5"/>
  <w15:docId w15:val="{7056B07C-8EE1-49CE-8A5C-D68375FF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24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423A"/>
  </w:style>
  <w:style w:type="paragraph" w:styleId="Sidefod">
    <w:name w:val="footer"/>
    <w:basedOn w:val="Normal"/>
    <w:link w:val="SidefodTegn"/>
    <w:uiPriority w:val="99"/>
    <w:unhideWhenUsed/>
    <w:rsid w:val="00824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423A"/>
  </w:style>
  <w:style w:type="character" w:styleId="Hyperlink">
    <w:name w:val="Hyperlink"/>
    <w:basedOn w:val="Standardskrifttypeiafsnit"/>
    <w:uiPriority w:val="99"/>
    <w:unhideWhenUsed/>
    <w:rsid w:val="00992CB5"/>
    <w:rPr>
      <w:color w:val="0563C1" w:themeColor="hyperlink"/>
      <w:u w:val="single"/>
    </w:rPr>
  </w:style>
  <w:style w:type="paragraph" w:styleId="Markeringsbobletekst">
    <w:name w:val="Balloon Text"/>
    <w:basedOn w:val="Normal"/>
    <w:link w:val="MarkeringsbobletekstTegn"/>
    <w:uiPriority w:val="99"/>
    <w:semiHidden/>
    <w:unhideWhenUsed/>
    <w:rsid w:val="000D48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89B"/>
    <w:rPr>
      <w:rFonts w:ascii="Segoe UI" w:hAnsi="Segoe UI" w:cs="Segoe UI"/>
      <w:sz w:val="18"/>
      <w:szCs w:val="18"/>
    </w:rPr>
  </w:style>
  <w:style w:type="paragraph" w:styleId="Ingenafstand">
    <w:name w:val="No Spacing"/>
    <w:uiPriority w:val="1"/>
    <w:qFormat/>
    <w:rsid w:val="00725A8F"/>
    <w:pPr>
      <w:spacing w:after="0" w:line="240" w:lineRule="auto"/>
    </w:pPr>
  </w:style>
  <w:style w:type="character" w:styleId="Pladsholdertekst">
    <w:name w:val="Placeholder Text"/>
    <w:basedOn w:val="Standardskrifttypeiafsnit"/>
    <w:uiPriority w:val="99"/>
    <w:semiHidden/>
    <w:rsid w:val="004E3E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574BFEC65540C8BD70263B65628000"/>
        <w:category>
          <w:name w:val="Generelt"/>
          <w:gallery w:val="placeholder"/>
        </w:category>
        <w:types>
          <w:type w:val="bbPlcHdr"/>
        </w:types>
        <w:behaviors>
          <w:behavior w:val="content"/>
        </w:behaviors>
        <w:guid w:val="{19B07267-57AB-4B29-B3EE-ECB7F2A35310}"/>
      </w:docPartPr>
      <w:docPartBody>
        <w:p w:rsidR="003842CB" w:rsidRDefault="003842CB">
          <w:r w:rsidRPr="005C5173">
            <w:rPr>
              <w:rStyle w:val="Pladsholdertekst"/>
            </w:rPr>
            <w:t>[Dok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2CB"/>
    <w:rsid w:val="001909AC"/>
    <w:rsid w:val="003842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2F"/>
    <w:rPr>
      <w:rFonts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C6E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TaxCatchAll xmlns="1046fd15-53b0-427d-a25e-930af8e001ea">
      <Value>16</Value>
      <Value>15</Value>
      <Value>14</Value>
      <Value>13</Value>
      <Value>12</Value>
      <Value>20</Value>
      <Value>17</Value>
      <Value>3</Value>
      <Value>2</Value>
      <Value>1</Value>
      <Value>19</Value>
    </TaxCatchAll>
    <CCMAgendaItemId xmlns="65E03820-63CE-48B2-900D-6B3DE3254344" xsi:nil="true"/>
    <CCMAgendaStatus xmlns="65E03820-63CE-48B2-900D-6B3DE3254344" xsi:nil="true"/>
    <CCMCognitiveType xmlns="http://schemas.microsoft.com/sharepoint/v3" xsi:nil="true"/>
    <Bem_x00e6_rkning xmlns="65E03820-63CE-48B2-900D-6B3DE3254344" xsi:nil="true"/>
    <CaseOwner xmlns="http://schemas.microsoft.com/sharepoint/v3">
      <UserInfo>
        <DisplayName/>
        <AccountId xsi:nil="true"/>
        <AccountType/>
      </UserInfo>
    </CaseOwner>
    <CCMMeetingCaseLink xmlns="65E03820-63CE-48B2-900D-6B3DE3254344">
      <Url xsi:nil="true"/>
      <Description xsi:nil="true"/>
    </CCMMeetingCaseLink>
    <TrackID xmlns="http://schemas.microsoft.com/sharepoint/v3" xsi:nil="true"/>
    <CCMAgendaDocumentStatus xmlns="65E03820-63CE-48B2-900D-6B3DE3254344" xsi:nil="true"/>
    <Classification xmlns="http://schemas.microsoft.com/sharepoint/v3" xsi:nil="true"/>
    <CCMMeetingCaseId xmlns="65E03820-63CE-48B2-900D-6B3DE3254344" xsi:nil="true"/>
    <CCMMeetingCaseInstanceId xmlns="65E03820-63CE-48B2-900D-6B3DE3254344" xsi:nil="true"/>
    <CCMMetadataExtractionStatus xmlns="http://schemas.microsoft.com/sharepoint/v3">CCMPageCount:InProgress;CCMCommentCount:InProgress</CCMMetadataExtractionStatus>
    <CCMSystemID xmlns="http://schemas.microsoft.com/sharepoint/v3">70b75415-b03e-435b-a96a-f2c99eab6ff9</CCMSystemID>
    <WasSigned xmlns="http://schemas.microsoft.com/sharepoint/v3">false</WasSigned>
    <WasEncrypted xmlns="http://schemas.microsoft.com/sharepoint/v3">false</WasEncrypted>
    <LocalAttachment xmlns="http://schemas.microsoft.com/sharepoint/v3">false</LocalAttachment>
    <Related xmlns="http://schemas.microsoft.com/sharepoint/v3">false</Related>
    <CCMVisualId xmlns="http://schemas.microsoft.com/sharepoint/v3">EMN-2023-01123</CCMVisualId>
    <Finalized xmlns="http://schemas.microsoft.com/sharepoint/v3">false</Finalized>
    <DocID xmlns="http://schemas.microsoft.com/sharepoint/v3">1687373</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EMN-2023-01123</CaseID>
    <RegistrationDate xmlns="http://schemas.microsoft.com/sharepoint/v3" xsi:nil="true"/>
    <CCMPageCount xmlns="http://schemas.microsoft.com/sharepoint/v3">0</CCMPageCount>
    <CCMCommentCount xmlns="http://schemas.microsoft.com/sharepoint/v3">0</CCMCommentCount>
    <CCMPreviewAnnotationsTasks xmlns="http://schemas.microsoft.com/sharepoint/v3">0</CCMPreviewAnnotationsTasks>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92EA63A8F5B934281913AA929FCD606" ma:contentTypeVersion="0" ma:contentTypeDescription="GetOrganized dokument" ma:contentTypeScope="" ma:versionID="5c901678b794767aa27e33e6b64c6415">
  <xsd:schema xmlns:xsd="http://www.w3.org/2001/XMLSchema" xmlns:xs="http://www.w3.org/2001/XMLSchema" xmlns:p="http://schemas.microsoft.com/office/2006/metadata/properties" xmlns:ns1="http://schemas.microsoft.com/sharepoint/v3" xmlns:ns2="1046fd15-53b0-427d-a25e-930af8e001ea" xmlns:ns3="65E03820-63CE-48B2-900D-6B3DE3254344" targetNamespace="http://schemas.microsoft.com/office/2006/metadata/properties" ma:root="true" ma:fieldsID="747edbce10f5dc5b99ed399412ab3329" ns1:_="" ns2:_="" ns3:_="">
    <xsd:import namespace="http://schemas.microsoft.com/sharepoint/v3"/>
    <xsd:import namespace="1046fd15-53b0-427d-a25e-930af8e001ea"/>
    <xsd:import namespace="65E03820-63CE-48B2-900D-6B3DE3254344"/>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description=""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description=""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1"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2" nillable="true" ma:displayName="Sider" ma:decimals="0" ma:description="" ma:internalName="CCMPageCount" ma:readOnly="true">
      <xsd:simpleType>
        <xsd:restriction base="dms:Number"/>
      </xsd:simpleType>
    </xsd:element>
    <xsd:element name="CCMCommentCount" ma:index="43" nillable="true" ma:displayName="Kommentarer" ma:decimals="0" ma:description="" ma:internalName="CCMCommentCount" ma:readOnly="true">
      <xsd:simpleType>
        <xsd:restriction base="dms:Number"/>
      </xsd:simpleType>
    </xsd:element>
    <xsd:element name="CCMPreviewAnnotationsTasks" ma:index="44" nillable="true" ma:displayName="Opgaver" ma:decimals="0" ma:description="" ma:internalName="CCMPreviewAnnotationsTasks" ma:readOnly="true">
      <xsd:simpleType>
        <xsd:restriction base="dms:Number"/>
      </xsd:simpleType>
    </xsd:element>
    <xsd:element name="CCMCognitiveType" ma:index="4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46fd15-53b0-427d-a25e-930af8e001e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5b55e6e-c453-4504-9c65-33d7f0b01023}" ma:internalName="TaxCatchAll" ma:showField="CatchAllData" ma:web="1046fd15-53b0-427d-a25e-930af8e00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E03820-63CE-48B2-900D-6B3DE3254344"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8A247-201C-4E53-BC7C-DEDB66F1C7F4}">
  <ds:schemaRefs>
    <ds:schemaRef ds:uri="http://schemas.openxmlformats.org/officeDocument/2006/bibliography"/>
  </ds:schemaRefs>
</ds:datastoreItem>
</file>

<file path=customXml/itemProps2.xml><?xml version="1.0" encoding="utf-8"?>
<ds:datastoreItem xmlns:ds="http://schemas.openxmlformats.org/officeDocument/2006/customXml" ds:itemID="{014F4F3A-245A-49B7-9CEB-77E4B617024F}">
  <ds:schemaRefs>
    <ds:schemaRef ds:uri="http://schemas.microsoft.com/sharepoint/v3/contenttype/forms"/>
  </ds:schemaRefs>
</ds:datastoreItem>
</file>

<file path=customXml/itemProps3.xml><?xml version="1.0" encoding="utf-8"?>
<ds:datastoreItem xmlns:ds="http://schemas.openxmlformats.org/officeDocument/2006/customXml" ds:itemID="{575FE633-8840-4411-81F1-75460C7E3D00}">
  <ds:schemaRefs>
    <ds:schemaRef ds:uri="http://schemas.openxmlformats.org/package/2006/metadata/core-properties"/>
    <ds:schemaRef ds:uri="http://purl.org/dc/elements/1.1/"/>
    <ds:schemaRef ds:uri="http://purl.org/dc/terms/"/>
    <ds:schemaRef ds:uri="http://schemas.microsoft.com/office/2006/metadata/properties"/>
    <ds:schemaRef ds:uri="1046fd15-53b0-427d-a25e-930af8e001ea"/>
    <ds:schemaRef ds:uri="http://schemas.microsoft.com/office/2006/documentManagement/types"/>
    <ds:schemaRef ds:uri="http://www.w3.org/XML/1998/namespace"/>
    <ds:schemaRef ds:uri="http://purl.org/dc/dcmitype/"/>
    <ds:schemaRef ds:uri="http://schemas.microsoft.com/office/infopath/2007/PartnerControls"/>
    <ds:schemaRef ds:uri="65E03820-63CE-48B2-900D-6B3DE3254344"/>
    <ds:schemaRef ds:uri="http://schemas.microsoft.com/sharepoint/v3"/>
  </ds:schemaRefs>
</ds:datastoreItem>
</file>

<file path=customXml/itemProps4.xml><?xml version="1.0" encoding="utf-8"?>
<ds:datastoreItem xmlns:ds="http://schemas.openxmlformats.org/officeDocument/2006/customXml" ds:itemID="{B6ED9E0A-4E89-4208-B9BF-6ACB9AC93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46fd15-53b0-427d-a25e-930af8e001ea"/>
    <ds:schemaRef ds:uri="65E03820-63CE-48B2-900D-6B3DE325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3583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Regnskabsinstruks 2024</vt: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Regnskabsinstruks 2024</dc:title>
  <dc:creator>Jessica Sunday Buckland</dc:creator>
  <cp:lastModifiedBy>Malin Højegaard</cp:lastModifiedBy>
  <cp:revision>17</cp:revision>
  <cp:lastPrinted>2024-03-06T14:59:00Z</cp:lastPrinted>
  <dcterms:created xsi:type="dcterms:W3CDTF">2024-02-28T14:54:00Z</dcterms:created>
  <dcterms:modified xsi:type="dcterms:W3CDTF">2025-04-30T12:13:00Z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IsSharedOnOneDrive">
    <vt:bool>false</vt:bool>
  </property>
  <property fmtid="{D5CDD505-2E9C-101B-9397-08002B2CF9AE}" pid="3" name="CCMOneDriveID">
    <vt:lpwstr/>
  </property>
  <property fmtid="{D5CDD505-2E9C-101B-9397-08002B2CF9AE}" pid="4" name="CCMOneDriveItemID">
    <vt:lpwstr/>
  </property>
  <property fmtid="{D5CDD505-2E9C-101B-9397-08002B2CF9AE}" pid="5" name="CCMOneDriveOwnerID">
    <vt:lpwstr/>
  </property>
  <property fmtid="{D5CDD505-2E9C-101B-9397-08002B2CF9AE}" pid="6" name="CCMSystem">
    <vt:lpwstr> </vt:lpwstr>
  </property>
  <property fmtid="{D5CDD505-2E9C-101B-9397-08002B2CF9AE}" pid="7" name="CCMSystemID">
    <vt:lpwstr>70b75415-b03e-435b-a96a-f2c99eab6ff9</vt:lpwstr>
  </property>
  <property fmtid="{D5CDD505-2E9C-101B-9397-08002B2CF9AE}" pid="8" name="ContentTypeId">
    <vt:lpwstr>0x010100AC085CFC53BC46CEA2EADE194AD9D48200192EA63A8F5B934281913AA929FCD606</vt:lpwstr>
  </property>
  <property fmtid="{D5CDD505-2E9C-101B-9397-08002B2CF9AE}" pid="9" name="Sagsprofil">
    <vt:lpwstr>1;#Generel|4a83b8ca-afb2-441e-ad6c-417fdddfd118;#2;#Henvendelse|edaf3d12-5a4e-4718-8cf1-812f32db1420;#3;#Høring|6c934b4a-7e30-429d-bb99-9f44e2a4fda8;#17;#Aktindsigtsag|1e3c8c4a-d897-4efd-a96b-1ae783ae95d3;#19;#Personalemøde|1613e456-6c9f-4ccd-bceb-10c0f98f51ae;#20;#Politisk møde|8996df7c-9523-48e7-a538-4f6ed30f6468;#12;#Ansættelsesvilkår og løn|e64e8e6a-42af-4c13-8ef5-8405ca57f954;#13;#Ansøgning og C.V.|423c15fc-08ff-4236-b50c-a93610494da9;#14;#Gammel personalesag|2b197f6a-e4ba-4692-8c67-34e599e2530d;#15;#Refusion ift. Sygdom og Barsel m.m.|78e4cef4-0cea-42e3-89be-da456111bc4a;#16;#Øvrige personaleforhold|0a6f6846-3594-4920-a4b5-f4bd991b77b9</vt:lpwstr>
  </property>
  <property fmtid="{D5CDD505-2E9C-101B-9397-08002B2CF9AE}" pid="10" name="xd_Signature">
    <vt:bool>false</vt:bool>
  </property>
</Properties>
</file>