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83" w:rsidRDefault="00491F83">
      <w:bookmarkStart w:id="0" w:name="_GoBack"/>
      <w:bookmarkEnd w:id="0"/>
    </w:p>
    <w:p w:rsidR="00C37F32" w:rsidRDefault="00C37F32" w:rsidP="00C37F32">
      <w:pPr>
        <w:jc w:val="center"/>
        <w:rPr>
          <w:rFonts w:ascii="Arial" w:eastAsia="Times New Roman" w:hAnsi="Arial" w:cs="Times New Roman"/>
          <w:b/>
          <w:sz w:val="52"/>
          <w:szCs w:val="24"/>
          <w:lang w:eastAsia="da-DK"/>
        </w:rPr>
      </w:pPr>
    </w:p>
    <w:p w:rsidR="00C37F32" w:rsidRDefault="00C37F32" w:rsidP="00C37F32">
      <w:pPr>
        <w:jc w:val="center"/>
        <w:rPr>
          <w:rFonts w:ascii="Arial" w:eastAsia="Times New Roman" w:hAnsi="Arial" w:cs="Times New Roman"/>
          <w:b/>
          <w:sz w:val="52"/>
          <w:szCs w:val="24"/>
          <w:lang w:eastAsia="da-DK"/>
        </w:rPr>
      </w:pPr>
    </w:p>
    <w:p w:rsidR="00C37F32" w:rsidRDefault="00C37F32" w:rsidP="00C37F32">
      <w:pPr>
        <w:jc w:val="center"/>
        <w:rPr>
          <w:rFonts w:ascii="Arial" w:eastAsia="Times New Roman" w:hAnsi="Arial" w:cs="Times New Roman"/>
          <w:b/>
          <w:sz w:val="52"/>
          <w:szCs w:val="24"/>
          <w:lang w:eastAsia="da-DK"/>
        </w:rPr>
      </w:pPr>
    </w:p>
    <w:p w:rsidR="00C37F32" w:rsidRDefault="00C37F32" w:rsidP="00C37F32">
      <w:pPr>
        <w:jc w:val="center"/>
        <w:rPr>
          <w:rFonts w:ascii="Arial" w:eastAsia="Times New Roman" w:hAnsi="Arial" w:cs="Times New Roman"/>
          <w:b/>
          <w:sz w:val="52"/>
          <w:szCs w:val="24"/>
          <w:lang w:eastAsia="da-DK"/>
        </w:rPr>
      </w:pPr>
    </w:p>
    <w:p w:rsidR="00C37F32" w:rsidRPr="00204CFC" w:rsidRDefault="00C37F32" w:rsidP="00C37F32">
      <w:pPr>
        <w:jc w:val="center"/>
        <w:rPr>
          <w:rFonts w:eastAsia="Times New Roman" w:cs="Times New Roman"/>
          <w:b/>
          <w:color w:val="365F91" w:themeColor="accent1" w:themeShade="BF"/>
          <w:sz w:val="72"/>
          <w:szCs w:val="72"/>
          <w:lang w:eastAsia="da-DK"/>
        </w:rPr>
      </w:pPr>
      <w:r w:rsidRPr="00204CFC">
        <w:rPr>
          <w:rFonts w:eastAsia="Times New Roman" w:cs="Times New Roman"/>
          <w:b/>
          <w:color w:val="365F91" w:themeColor="accent1" w:themeShade="BF"/>
          <w:sz w:val="72"/>
          <w:szCs w:val="72"/>
          <w:lang w:eastAsia="da-DK"/>
        </w:rPr>
        <w:t>Paradigme</w:t>
      </w:r>
    </w:p>
    <w:p w:rsidR="00C37F32" w:rsidRPr="00C37F32" w:rsidRDefault="00C37F32" w:rsidP="00C37F32">
      <w:pPr>
        <w:spacing w:after="0" w:line="240" w:lineRule="auto"/>
        <w:jc w:val="center"/>
        <w:rPr>
          <w:rFonts w:eastAsia="Times New Roman" w:cs="Times New Roman"/>
          <w:b/>
          <w:color w:val="365F91" w:themeColor="accent1" w:themeShade="BF"/>
          <w:sz w:val="72"/>
          <w:szCs w:val="72"/>
          <w:lang w:eastAsia="da-DK"/>
        </w:rPr>
      </w:pPr>
      <w:r w:rsidRPr="00C37F32">
        <w:rPr>
          <w:rFonts w:eastAsia="Times New Roman" w:cs="Times New Roman"/>
          <w:b/>
          <w:color w:val="365F91" w:themeColor="accent1" w:themeShade="BF"/>
          <w:sz w:val="72"/>
          <w:szCs w:val="72"/>
          <w:lang w:eastAsia="da-DK"/>
        </w:rPr>
        <w:t>for</w:t>
      </w:r>
    </w:p>
    <w:p w:rsidR="00491F83" w:rsidRPr="00204CFC" w:rsidRDefault="00C37F32" w:rsidP="00C37F32">
      <w:pPr>
        <w:jc w:val="center"/>
        <w:rPr>
          <w:color w:val="365F91" w:themeColor="accent1" w:themeShade="BF"/>
          <w:sz w:val="72"/>
          <w:szCs w:val="72"/>
        </w:rPr>
      </w:pPr>
      <w:r w:rsidRPr="00204CFC">
        <w:rPr>
          <w:rFonts w:eastAsia="Times New Roman" w:cs="Times New Roman"/>
          <w:b/>
          <w:color w:val="365F91" w:themeColor="accent1" w:themeShade="BF"/>
          <w:sz w:val="72"/>
          <w:szCs w:val="72"/>
          <w:lang w:eastAsia="da-DK"/>
        </w:rPr>
        <w:t>udbudsstrategi</w:t>
      </w:r>
    </w:p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/>
    <w:p w:rsidR="00C37F32" w:rsidRDefault="00C37F32" w:rsidP="00204CFC">
      <w:pPr>
        <w:pStyle w:val="Overskrift1"/>
      </w:pPr>
      <w:r>
        <w:t>Indledning – vejledning for brug af paradigme</w:t>
      </w:r>
    </w:p>
    <w:p w:rsidR="00C37F32" w:rsidRDefault="00C37F32" w:rsidP="00C37F32"/>
    <w:p w:rsidR="00C37F32" w:rsidRDefault="00C37F32" w:rsidP="00204CFC">
      <w:pPr>
        <w:spacing w:after="0"/>
        <w:jc w:val="both"/>
      </w:pPr>
      <w:r>
        <w:t>Formålet med nærværende Paradigme for udbudsstrategi er</w:t>
      </w:r>
      <w:r w:rsidR="00204CFC">
        <w:t>,</w:t>
      </w:r>
      <w:r>
        <w:t xml:space="preserve"> at give ensartede retningslinjer for udarbejdelse af udbudsstrategier, ligesom forslag til indhold i de enkelte afsnit kan fungere som en tjekliste i forbindelse med udformningen af den konkrete udbudsstrategi.</w:t>
      </w:r>
    </w:p>
    <w:p w:rsidR="00C37F32" w:rsidRDefault="00C37F32" w:rsidP="00204CFC">
      <w:pPr>
        <w:spacing w:after="0"/>
        <w:jc w:val="both"/>
      </w:pPr>
    </w:p>
    <w:p w:rsidR="00C37F32" w:rsidRDefault="00C37F32" w:rsidP="00204CFC">
      <w:pPr>
        <w:spacing w:after="0"/>
        <w:jc w:val="both"/>
      </w:pPr>
      <w:r>
        <w:t xml:space="preserve">Der henvises i paradigmet til særskilt </w:t>
      </w:r>
      <w:r w:rsidR="00204CFC">
        <w:rPr>
          <w:i/>
        </w:rPr>
        <w:t>”</w:t>
      </w:r>
      <w:r w:rsidRPr="00204CFC">
        <w:rPr>
          <w:b/>
          <w:i/>
        </w:rPr>
        <w:t>Vejledning for udbudsstrategi</w:t>
      </w:r>
      <w:r w:rsidR="00204CFC">
        <w:rPr>
          <w:b/>
          <w:i/>
        </w:rPr>
        <w:t>”</w:t>
      </w:r>
      <w:r>
        <w:t>, som indeholder en mere generel gennemgang af de forhold, som det pågældende afsnit i udbudsstrategien bør forholde sig til. Paradigmet bør derfor læses sammen med den tilhørende vejledning.</w:t>
      </w:r>
    </w:p>
    <w:p w:rsidR="00C37F32" w:rsidRDefault="00C37F32" w:rsidP="00204CFC">
      <w:pPr>
        <w:spacing w:after="0"/>
        <w:jc w:val="both"/>
      </w:pPr>
    </w:p>
    <w:p w:rsidR="00C37F32" w:rsidRDefault="00C37F32" w:rsidP="00204CFC">
      <w:pPr>
        <w:spacing w:after="0"/>
        <w:jc w:val="both"/>
      </w:pPr>
      <w:r>
        <w:t>Det skal fremhæves, at udbudsstrategien er et dynamisk dokument i byggesagen, jf. indledningen</w:t>
      </w:r>
      <w:r w:rsidR="00204CFC">
        <w:t xml:space="preserve"> </w:t>
      </w:r>
      <w:r>
        <w:t xml:space="preserve">til </w:t>
      </w:r>
      <w:r w:rsidR="00204CFC">
        <w:t>”</w:t>
      </w:r>
      <w:r w:rsidRPr="00204CFC">
        <w:rPr>
          <w:i/>
        </w:rPr>
        <w:t>Vejledning for udbudsstrategi</w:t>
      </w:r>
      <w:r w:rsidR="00204CFC">
        <w:rPr>
          <w:i/>
        </w:rPr>
        <w:t>”</w:t>
      </w:r>
      <w:r>
        <w:t>.</w:t>
      </w:r>
    </w:p>
    <w:p w:rsidR="00C37F32" w:rsidRDefault="00C37F32" w:rsidP="00204CFC">
      <w:pPr>
        <w:spacing w:after="0"/>
      </w:pPr>
    </w:p>
    <w:p w:rsidR="00C37F32" w:rsidRPr="00204CFC" w:rsidRDefault="00C37F32" w:rsidP="00204CFC">
      <w:pPr>
        <w:pStyle w:val="Overskrift1"/>
      </w:pPr>
      <w:r w:rsidRPr="00204CFC">
        <w:t xml:space="preserve">Mulige afsnit i en udbudsstrategi </w:t>
      </w:r>
    </w:p>
    <w:p w:rsidR="00C37F32" w:rsidRPr="00204CFC" w:rsidRDefault="00C37F32" w:rsidP="00C37F32">
      <w:pPr>
        <w:rPr>
          <w:color w:val="365F91" w:themeColor="accent1" w:themeShade="BF"/>
        </w:rPr>
      </w:pPr>
    </w:p>
    <w:p w:rsidR="00C37F32" w:rsidRPr="00204CFC" w:rsidRDefault="00C37F32" w:rsidP="00204CFC">
      <w:pPr>
        <w:pStyle w:val="Listeafsnit"/>
        <w:numPr>
          <w:ilvl w:val="0"/>
          <w:numId w:val="1"/>
        </w:numPr>
        <w:ind w:left="567" w:hanging="567"/>
        <w:rPr>
          <w:b/>
          <w:color w:val="1F497D" w:themeColor="text2"/>
        </w:rPr>
      </w:pPr>
      <w:r w:rsidRPr="00204CFC">
        <w:rPr>
          <w:b/>
          <w:color w:val="1F497D" w:themeColor="text2"/>
        </w:rPr>
        <w:t>Sammenfatning/konklusion/indstilling vedrørende udbuds- og kontraktform</w:t>
      </w:r>
    </w:p>
    <w:p w:rsidR="00C37F32" w:rsidRDefault="00C37F32" w:rsidP="00F54A15">
      <w:pPr>
        <w:ind w:left="851"/>
        <w:jc w:val="both"/>
      </w:pPr>
      <w:r>
        <w:t>Sammenfatningen skal opsummere, hvilken kontraktform og hvilken udbudsform, der anbefales på baggrund af overvejelserne i udbudsstrategien. Der skal være en op-summering for både rådgiverydelsen og entrepriserne. Endvidere skal det med i dette afsnit, hvis der skal ydes tilbudsvederlag i forbindelse med udbud, jf. nedenfor pkt.13. Opsummeringen bør have karakter af en indstilling på disse punkter til styregruppen.</w:t>
      </w:r>
    </w:p>
    <w:p w:rsidR="00C37F32" w:rsidRPr="00F54A15" w:rsidRDefault="00C37F32" w:rsidP="00F54A15">
      <w:pPr>
        <w:ind w:left="567" w:hanging="567"/>
        <w:rPr>
          <w:b/>
          <w:color w:val="1F497D" w:themeColor="text2"/>
        </w:rPr>
      </w:pPr>
      <w:r w:rsidRPr="00F54A15">
        <w:rPr>
          <w:b/>
          <w:color w:val="1F497D" w:themeColor="text2"/>
        </w:rPr>
        <w:t>2.</w:t>
      </w:r>
      <w:r w:rsidRPr="00F54A15">
        <w:rPr>
          <w:b/>
          <w:color w:val="1F497D" w:themeColor="text2"/>
        </w:rPr>
        <w:tab/>
        <w:t>Baggrund og overvejelser om udbudsstrategi</w:t>
      </w:r>
    </w:p>
    <w:p w:rsidR="00C37F32" w:rsidRDefault="00F54A15" w:rsidP="00F54A15">
      <w:pPr>
        <w:ind w:left="851"/>
        <w:jc w:val="both"/>
      </w:pPr>
      <w:r>
        <w:t xml:space="preserve">I dette afsnit </w:t>
      </w:r>
      <w:r w:rsidR="00C37F32">
        <w:t xml:space="preserve">bør </w:t>
      </w:r>
      <w:r>
        <w:t>der være en beskrivelse af, H</w:t>
      </w:r>
      <w:r w:rsidR="00C37F32">
        <w:t>vor man er i byggesagsforløbet</w:t>
      </w:r>
      <w:r>
        <w:t xml:space="preserve"> samt en overordnet beskrivelse af b</w:t>
      </w:r>
      <w:r w:rsidR="00C37F32">
        <w:t xml:space="preserve">aggrunden for den pågældende byggesag – er det eksempelvis en sædvanlig regionalt bevilget byggesag eller et kvalitetsfondsprojekt m.v. </w:t>
      </w:r>
    </w:p>
    <w:p w:rsidR="00C37F32" w:rsidRPr="00F54A15" w:rsidRDefault="00C37F32" w:rsidP="00F54A15">
      <w:pPr>
        <w:ind w:left="567" w:hanging="567"/>
        <w:rPr>
          <w:b/>
          <w:color w:val="1F497D" w:themeColor="text2"/>
        </w:rPr>
      </w:pPr>
      <w:r w:rsidRPr="00F54A15">
        <w:rPr>
          <w:b/>
          <w:color w:val="1F497D" w:themeColor="text2"/>
        </w:rPr>
        <w:t>3.</w:t>
      </w:r>
      <w:r w:rsidRPr="00F54A15">
        <w:rPr>
          <w:b/>
          <w:color w:val="1F497D" w:themeColor="text2"/>
        </w:rPr>
        <w:tab/>
        <w:t>Opgavens karakteristika</w:t>
      </w:r>
    </w:p>
    <w:p w:rsidR="00C37F32" w:rsidRPr="00F54A15" w:rsidRDefault="00C37F32" w:rsidP="00F54A15">
      <w:pPr>
        <w:ind w:left="851"/>
        <w:jc w:val="both"/>
        <w:rPr>
          <w:i/>
        </w:rPr>
      </w:pPr>
      <w:r>
        <w:t xml:space="preserve">Her bør angives mere byggespecifikke oplysninger – er det specialiseret sygehusbyggeri eller mere standardiseret byggeri, såsom kontorer eller p-hus-byggeri. </w:t>
      </w:r>
      <w:r w:rsidR="00F54A15">
        <w:t>Afsnittet</w:t>
      </w:r>
      <w:r>
        <w:t xml:space="preserve"> </w:t>
      </w:r>
      <w:r w:rsidR="00F54A15">
        <w:t>bør også</w:t>
      </w:r>
      <w:r>
        <w:t xml:space="preserve"> </w:t>
      </w:r>
      <w:r w:rsidR="00F54A15">
        <w:t xml:space="preserve">skitsere </w:t>
      </w:r>
      <w:r>
        <w:t xml:space="preserve">byggesagens økonomi, og på baggrund </w:t>
      </w:r>
      <w:r w:rsidR="00F54A15">
        <w:t xml:space="preserve">heraf </w:t>
      </w:r>
      <w:r>
        <w:t xml:space="preserve">en redegørelse for, hvilket regelsæt, der finder anvendelse på henholdsvis udbud af rådgiverydelsen og udbud af entrepriserne. Dette afgøres under henvisning til afsnittet om </w:t>
      </w:r>
      <w:r w:rsidR="00F54A15">
        <w:rPr>
          <w:color w:val="1F497D" w:themeColor="text2"/>
        </w:rPr>
        <w:t>U</w:t>
      </w:r>
      <w:r w:rsidRPr="00F54A15">
        <w:rPr>
          <w:color w:val="1F497D" w:themeColor="text2"/>
        </w:rPr>
        <w:t>dbudsregler</w:t>
      </w:r>
      <w:r>
        <w:t xml:space="preserve"> i</w:t>
      </w:r>
      <w:r w:rsidR="00F54A15">
        <w:t xml:space="preserve"> </w:t>
      </w:r>
      <w:r w:rsidRPr="00F54A15">
        <w:rPr>
          <w:i/>
        </w:rPr>
        <w:t>”Vejledningen om Udbudsstrategi”</w:t>
      </w:r>
      <w:r>
        <w:t xml:space="preserve">. </w:t>
      </w:r>
      <w:r w:rsidR="00F54A15">
        <w:t xml:space="preserve">Endelig kan man </w:t>
      </w:r>
      <w:r>
        <w:t>kan man også her beskrive</w:t>
      </w:r>
      <w:r w:rsidR="00F54A15">
        <w:t>,</w:t>
      </w:r>
      <w:r>
        <w:t xml:space="preserve"> hvorvidt andre regler/love er relevante, jf. afsnittet om </w:t>
      </w:r>
      <w:r w:rsidR="00F54A15" w:rsidRPr="00F54A15">
        <w:rPr>
          <w:color w:val="1F497D" w:themeColor="text2"/>
        </w:rPr>
        <w:t>L</w:t>
      </w:r>
      <w:r w:rsidRPr="00F54A15">
        <w:rPr>
          <w:color w:val="1F497D" w:themeColor="text2"/>
        </w:rPr>
        <w:t xml:space="preserve">ovgivning i øvrigt </w:t>
      </w:r>
      <w:r>
        <w:t xml:space="preserve">i </w:t>
      </w:r>
      <w:r w:rsidR="00F54A15" w:rsidRPr="00F54A15">
        <w:rPr>
          <w:i/>
        </w:rPr>
        <w:t>”</w:t>
      </w:r>
      <w:r w:rsidRPr="00F54A15">
        <w:rPr>
          <w:i/>
        </w:rPr>
        <w:t>Vejledning</w:t>
      </w:r>
      <w:r w:rsidR="00F54A15" w:rsidRPr="00F54A15">
        <w:rPr>
          <w:i/>
        </w:rPr>
        <w:t xml:space="preserve"> for udbudsstrategi”</w:t>
      </w:r>
      <w:r w:rsidRPr="00F54A15">
        <w:rPr>
          <w:i/>
        </w:rPr>
        <w:t>.</w:t>
      </w:r>
    </w:p>
    <w:p w:rsidR="00C37F32" w:rsidRPr="00F54A15" w:rsidRDefault="00C37F32" w:rsidP="00F54A15">
      <w:pPr>
        <w:ind w:left="567" w:hanging="567"/>
        <w:rPr>
          <w:b/>
          <w:color w:val="1F497D" w:themeColor="text2"/>
        </w:rPr>
      </w:pPr>
      <w:r w:rsidRPr="00F54A15">
        <w:rPr>
          <w:b/>
          <w:color w:val="1F497D" w:themeColor="text2"/>
        </w:rPr>
        <w:lastRenderedPageBreak/>
        <w:t>4.</w:t>
      </w:r>
      <w:r w:rsidRPr="00F54A15">
        <w:rPr>
          <w:b/>
          <w:color w:val="1F497D" w:themeColor="text2"/>
        </w:rPr>
        <w:tab/>
        <w:t>Markedsvilkår</w:t>
      </w:r>
    </w:p>
    <w:p w:rsidR="00C37F32" w:rsidRDefault="00C37F32" w:rsidP="00F54A15">
      <w:pPr>
        <w:ind w:left="851"/>
        <w:jc w:val="both"/>
      </w:pPr>
      <w:r>
        <w:t xml:space="preserve">Dette afsnit udformes med inspiration fra afsnittet om </w:t>
      </w:r>
      <w:r w:rsidRPr="00F54A15">
        <w:rPr>
          <w:color w:val="1F497D" w:themeColor="text2"/>
        </w:rPr>
        <w:t xml:space="preserve">Indledende markedsvurdering </w:t>
      </w:r>
      <w:r>
        <w:t xml:space="preserve">i </w:t>
      </w:r>
      <w:r w:rsidR="00F54A15">
        <w:rPr>
          <w:i/>
        </w:rPr>
        <w:t>”</w:t>
      </w:r>
      <w:r w:rsidRPr="00F54A15">
        <w:rPr>
          <w:i/>
        </w:rPr>
        <w:t>Vejledning for udbudsstrategi</w:t>
      </w:r>
      <w:r w:rsidR="00F54A15">
        <w:rPr>
          <w:i/>
        </w:rPr>
        <w:t>”</w:t>
      </w:r>
      <w:r>
        <w:t xml:space="preserve">. </w:t>
      </w:r>
    </w:p>
    <w:p w:rsidR="00C37F32" w:rsidRPr="00F54A15" w:rsidRDefault="00C37F32" w:rsidP="00F54A15">
      <w:pPr>
        <w:ind w:left="567" w:hanging="567"/>
        <w:rPr>
          <w:b/>
          <w:color w:val="1F497D" w:themeColor="text2"/>
        </w:rPr>
      </w:pPr>
      <w:r w:rsidRPr="00F54A15">
        <w:rPr>
          <w:b/>
          <w:color w:val="1F497D" w:themeColor="text2"/>
        </w:rPr>
        <w:t>5.</w:t>
      </w:r>
      <w:r w:rsidRPr="00F54A15">
        <w:rPr>
          <w:b/>
          <w:color w:val="1F497D" w:themeColor="text2"/>
        </w:rPr>
        <w:tab/>
        <w:t>Rådgivningsform (valg af rådgivning)</w:t>
      </w:r>
    </w:p>
    <w:p w:rsidR="00C37F32" w:rsidRDefault="00C37F32" w:rsidP="00F54A15">
      <w:pPr>
        <w:ind w:left="851"/>
      </w:pPr>
      <w:r>
        <w:t>Dette afsnit udformes med inspiration</w:t>
      </w:r>
      <w:r w:rsidR="00F54A15">
        <w:t xml:space="preserve"> fra afsnittet</w:t>
      </w:r>
      <w:r>
        <w:t xml:space="preserve"> om </w:t>
      </w:r>
      <w:r w:rsidR="00F54A15" w:rsidRPr="00F54A15">
        <w:rPr>
          <w:color w:val="1F497D" w:themeColor="text2"/>
        </w:rPr>
        <w:t>K</w:t>
      </w:r>
      <w:r w:rsidRPr="00F54A15">
        <w:rPr>
          <w:color w:val="1F497D" w:themeColor="text2"/>
        </w:rPr>
        <w:t>ontraherings- og entrepriseformer</w:t>
      </w:r>
      <w:r>
        <w:t xml:space="preserve">, særligt pkt. 1, i </w:t>
      </w:r>
      <w:r w:rsidRPr="00F54A15">
        <w:rPr>
          <w:i/>
        </w:rPr>
        <w:t>”Vejledning for udbudsstrategi”</w:t>
      </w:r>
      <w:r>
        <w:t>. Der skal herunder tages stilling til om rådgivning i udførelsesfasen skal købes hos den projekterende rådgiver, typisk hos totalrådgiver, eller om der skal skabes grundlag for, at denne rådgivning helt eller delvist kan købes hos et andet rådgiverfirma.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6.</w:t>
      </w:r>
      <w:r w:rsidRPr="00356FB5">
        <w:rPr>
          <w:b/>
          <w:color w:val="1F497D" w:themeColor="text2"/>
        </w:rPr>
        <w:tab/>
        <w:t>Entrepriseformer og entrepriseopdeling</w:t>
      </w:r>
    </w:p>
    <w:p w:rsidR="00C37F32" w:rsidRDefault="00C37F32" w:rsidP="00356FB5">
      <w:pPr>
        <w:ind w:left="851"/>
      </w:pPr>
      <w:r>
        <w:t xml:space="preserve">Dette afsnit udformes med inspiration fra afsnittet om </w:t>
      </w:r>
      <w:r w:rsidR="00356FB5" w:rsidRPr="00356FB5">
        <w:rPr>
          <w:color w:val="1F497D" w:themeColor="text2"/>
        </w:rPr>
        <w:t>K</w:t>
      </w:r>
      <w:r w:rsidRPr="00356FB5">
        <w:rPr>
          <w:color w:val="1F497D" w:themeColor="text2"/>
        </w:rPr>
        <w:t xml:space="preserve">ontraherings- og entrepriseformer </w:t>
      </w:r>
      <w:r>
        <w:t xml:space="preserve">i </w:t>
      </w:r>
      <w:r w:rsidR="00356FB5">
        <w:rPr>
          <w:i/>
        </w:rPr>
        <w:t>”</w:t>
      </w:r>
      <w:r w:rsidRPr="00356FB5">
        <w:rPr>
          <w:i/>
        </w:rPr>
        <w:t>Vejledning for udbudsstrategi</w:t>
      </w:r>
      <w:r w:rsidR="00356FB5">
        <w:rPr>
          <w:i/>
        </w:rPr>
        <w:t>”</w:t>
      </w:r>
      <w:r>
        <w:t xml:space="preserve">. </w:t>
      </w:r>
    </w:p>
    <w:p w:rsidR="00C37F32" w:rsidRPr="00356FB5" w:rsidRDefault="00C37F32" w:rsidP="00356FB5">
      <w:pPr>
        <w:spacing w:after="0"/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7.</w:t>
      </w:r>
      <w:r w:rsidRPr="00356FB5">
        <w:rPr>
          <w:b/>
          <w:color w:val="1F497D" w:themeColor="text2"/>
        </w:rPr>
        <w:tab/>
        <w:t xml:space="preserve">Udbudsmodel (offentligt udbud, begrænset udbud, med eller uden prækvalifikation, </w:t>
      </w:r>
      <w:r w:rsidR="00356FB5">
        <w:rPr>
          <w:b/>
          <w:color w:val="1F497D" w:themeColor="text2"/>
        </w:rPr>
        <w:t xml:space="preserve">projekt- </w:t>
      </w:r>
    </w:p>
    <w:p w:rsidR="00C37F32" w:rsidRPr="00356FB5" w:rsidRDefault="00356FB5" w:rsidP="00356FB5">
      <w:pPr>
        <w:spacing w:after="0"/>
        <w:ind w:left="567"/>
        <w:rPr>
          <w:b/>
          <w:color w:val="1F497D" w:themeColor="text2"/>
        </w:rPr>
      </w:pPr>
      <w:r>
        <w:rPr>
          <w:b/>
          <w:color w:val="1F497D" w:themeColor="text2"/>
        </w:rPr>
        <w:t>k</w:t>
      </w:r>
      <w:r w:rsidR="00C37F32" w:rsidRPr="00356FB5">
        <w:rPr>
          <w:b/>
          <w:color w:val="1F497D" w:themeColor="text2"/>
        </w:rPr>
        <w:t>onkurrence</w:t>
      </w:r>
      <w:r>
        <w:rPr>
          <w:b/>
          <w:color w:val="1F497D" w:themeColor="text2"/>
        </w:rPr>
        <w:t xml:space="preserve"> eller </w:t>
      </w:r>
      <w:r w:rsidR="00C37F32" w:rsidRPr="00356FB5">
        <w:rPr>
          <w:b/>
          <w:color w:val="1F497D" w:themeColor="text2"/>
        </w:rPr>
        <w:t>konkurrencepræget dialog)</w:t>
      </w:r>
    </w:p>
    <w:p w:rsidR="00C37F32" w:rsidRDefault="00C37F32" w:rsidP="00356FB5">
      <w:pPr>
        <w:spacing w:after="0"/>
      </w:pPr>
    </w:p>
    <w:p w:rsidR="00C37F32" w:rsidRDefault="00C37F32" w:rsidP="00356FB5">
      <w:pPr>
        <w:spacing w:after="0"/>
        <w:ind w:left="851"/>
        <w:jc w:val="both"/>
      </w:pPr>
      <w:r>
        <w:t xml:space="preserve">Dette afsnit udformes med inspiration i afsnittene om henholdsvis </w:t>
      </w:r>
      <w:r w:rsidRPr="00356FB5">
        <w:rPr>
          <w:color w:val="1F497D" w:themeColor="text2"/>
        </w:rPr>
        <w:t>Udbudsformer, Byggeteknisk rådgivning og bistand</w:t>
      </w:r>
      <w:r>
        <w:t xml:space="preserve"> samt </w:t>
      </w:r>
      <w:r w:rsidRPr="00356FB5">
        <w:rPr>
          <w:color w:val="1F497D" w:themeColor="text2"/>
        </w:rPr>
        <w:t>Udførelsesentrepriser</w:t>
      </w:r>
      <w:r>
        <w:t xml:space="preserve"> i </w:t>
      </w:r>
      <w:r w:rsidRPr="00356FB5">
        <w:rPr>
          <w:i/>
        </w:rPr>
        <w:t>”Vejledning for udbudsstrategi”</w:t>
      </w:r>
      <w:r>
        <w:t>. Der skal tages separat stilling til udbudsformen</w:t>
      </w:r>
      <w:r w:rsidR="00356FB5">
        <w:t>,</w:t>
      </w:r>
      <w:r>
        <w:t xml:space="preserve"> både for så vidt angår rådgiverydelsen og entrepriserne. </w:t>
      </w:r>
    </w:p>
    <w:p w:rsidR="00356FB5" w:rsidRDefault="00356FB5" w:rsidP="00356FB5">
      <w:pPr>
        <w:spacing w:after="0"/>
        <w:ind w:left="851"/>
        <w:jc w:val="both"/>
      </w:pP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8.</w:t>
      </w:r>
      <w:r w:rsidRPr="00356FB5">
        <w:rPr>
          <w:b/>
          <w:color w:val="1F497D" w:themeColor="text2"/>
        </w:rPr>
        <w:tab/>
        <w:t>Delkontrakter uden udbud</w:t>
      </w:r>
    </w:p>
    <w:p w:rsidR="00C37F32" w:rsidRDefault="00C37F32" w:rsidP="00356FB5">
      <w:pPr>
        <w:ind w:left="851"/>
        <w:jc w:val="both"/>
      </w:pPr>
      <w:r>
        <w:t xml:space="preserve">Dette afsnit udformes med inspiration i afsnittet om </w:t>
      </w:r>
      <w:r w:rsidR="00356FB5" w:rsidRPr="00356FB5">
        <w:rPr>
          <w:color w:val="1F497D" w:themeColor="text2"/>
        </w:rPr>
        <w:t>U</w:t>
      </w:r>
      <w:r w:rsidRPr="00356FB5">
        <w:rPr>
          <w:color w:val="1F497D" w:themeColor="text2"/>
        </w:rPr>
        <w:t>dbudsregler</w:t>
      </w:r>
      <w:r>
        <w:t xml:space="preserve"> i </w:t>
      </w:r>
      <w:r w:rsidR="00356FB5" w:rsidRPr="00356FB5">
        <w:rPr>
          <w:i/>
        </w:rPr>
        <w:t>”</w:t>
      </w:r>
      <w:r w:rsidRPr="00356FB5">
        <w:rPr>
          <w:i/>
        </w:rPr>
        <w:t>Vejledning for udbudsstrategi</w:t>
      </w:r>
      <w:r w:rsidR="00356FB5">
        <w:t>”</w:t>
      </w:r>
      <w:r>
        <w:t>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9.</w:t>
      </w:r>
      <w:r w:rsidRPr="00356FB5">
        <w:rPr>
          <w:b/>
          <w:color w:val="1F497D" w:themeColor="text2"/>
        </w:rPr>
        <w:tab/>
        <w:t>Optioner</w:t>
      </w:r>
    </w:p>
    <w:p w:rsidR="00C37F32" w:rsidRDefault="00C37F32" w:rsidP="00356FB5">
      <w:pPr>
        <w:ind w:left="851"/>
      </w:pPr>
      <w:r>
        <w:t>Dette afsnit udformes med inspiration</w:t>
      </w:r>
      <w:r w:rsidR="00356FB5">
        <w:t xml:space="preserve"> </w:t>
      </w:r>
      <w:r>
        <w:t xml:space="preserve">fra afsnittet om </w:t>
      </w:r>
      <w:r w:rsidRPr="00356FB5">
        <w:rPr>
          <w:color w:val="1F497D" w:themeColor="text2"/>
        </w:rPr>
        <w:t>Optioner</w:t>
      </w:r>
      <w:r>
        <w:t xml:space="preserve"> i </w:t>
      </w:r>
      <w:r w:rsidR="00356FB5">
        <w:rPr>
          <w:i/>
        </w:rPr>
        <w:t>”</w:t>
      </w:r>
      <w:r w:rsidRPr="00356FB5">
        <w:rPr>
          <w:i/>
        </w:rPr>
        <w:t>Vejledning for udbudsstrategi”</w:t>
      </w:r>
      <w:r>
        <w:t>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10.</w:t>
      </w:r>
      <w:r w:rsidRPr="00356FB5">
        <w:rPr>
          <w:b/>
          <w:color w:val="1F497D" w:themeColor="text2"/>
        </w:rPr>
        <w:tab/>
        <w:t>Tidsplan for udbud</w:t>
      </w:r>
    </w:p>
    <w:p w:rsidR="00C37F32" w:rsidRDefault="00C37F32" w:rsidP="00356FB5">
      <w:pPr>
        <w:ind w:left="851"/>
        <w:jc w:val="both"/>
      </w:pPr>
      <w:r>
        <w:t>Tidsplanen udformes på baggrund af konklusionerne om kontraktform og udbudsmodel i den konkrete udbudsstrategi, jf. ovenfor punkt 5-7.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11.</w:t>
      </w:r>
      <w:r w:rsidRPr="00356FB5">
        <w:rPr>
          <w:b/>
          <w:color w:val="1F497D" w:themeColor="text2"/>
        </w:rPr>
        <w:tab/>
        <w:t>Principper for prækvalifikation (udvælgelseskriterier)</w:t>
      </w:r>
    </w:p>
    <w:p w:rsidR="00C37F32" w:rsidRDefault="00C37F32" w:rsidP="00356FB5">
      <w:pPr>
        <w:ind w:left="851"/>
        <w:jc w:val="both"/>
      </w:pPr>
      <w:r>
        <w:t xml:space="preserve">Dette afsnit udformes i henhold til afsnittet om </w:t>
      </w:r>
      <w:r w:rsidRPr="00356FB5">
        <w:rPr>
          <w:color w:val="1F497D" w:themeColor="text2"/>
        </w:rPr>
        <w:t>Prækvalifikation</w:t>
      </w:r>
      <w:r>
        <w:t xml:space="preserve"> i </w:t>
      </w:r>
      <w:r w:rsidR="00356FB5">
        <w:t>”</w:t>
      </w:r>
      <w:r w:rsidRPr="00356FB5">
        <w:rPr>
          <w:i/>
        </w:rPr>
        <w:t>Vejledning</w:t>
      </w:r>
      <w:r w:rsidR="00356FB5">
        <w:rPr>
          <w:i/>
        </w:rPr>
        <w:t xml:space="preserve"> </w:t>
      </w:r>
      <w:r w:rsidRPr="00356FB5">
        <w:rPr>
          <w:i/>
        </w:rPr>
        <w:t>for udbudsstrategi</w:t>
      </w:r>
      <w:r w:rsidR="00356FB5">
        <w:rPr>
          <w:i/>
        </w:rPr>
        <w:t>”</w:t>
      </w:r>
      <w:r>
        <w:t xml:space="preserve">. Der skal tages separat stilling til </w:t>
      </w:r>
      <w:r w:rsidR="00356FB5">
        <w:t>udvælgelseskriterierne for hen</w:t>
      </w:r>
      <w:r>
        <w:t>holdsvis rådgiverydelsen og entrepriserne.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12.</w:t>
      </w:r>
      <w:r w:rsidRPr="00356FB5">
        <w:rPr>
          <w:b/>
          <w:color w:val="1F497D" w:themeColor="text2"/>
        </w:rPr>
        <w:tab/>
        <w:t>Principper for vurdering af tilbud (tildelingskriterier)</w:t>
      </w:r>
    </w:p>
    <w:p w:rsidR="00C37F32" w:rsidRDefault="00C37F32" w:rsidP="00356FB5">
      <w:pPr>
        <w:ind w:left="851"/>
        <w:jc w:val="both"/>
      </w:pPr>
      <w:r>
        <w:lastRenderedPageBreak/>
        <w:t xml:space="preserve">Dette afsnit udformes i henhold til afsnittet om </w:t>
      </w:r>
      <w:r w:rsidRPr="00356FB5">
        <w:rPr>
          <w:color w:val="1F497D" w:themeColor="text2"/>
        </w:rPr>
        <w:t xml:space="preserve">Tildeling af kontrakt </w:t>
      </w:r>
      <w:r>
        <w:t xml:space="preserve">i </w:t>
      </w:r>
      <w:r w:rsidR="00356FB5">
        <w:rPr>
          <w:i/>
        </w:rPr>
        <w:t>”</w:t>
      </w:r>
      <w:r w:rsidRPr="00356FB5">
        <w:rPr>
          <w:i/>
        </w:rPr>
        <w:t>Vejledning for ud-budsstrategi”</w:t>
      </w:r>
      <w:r>
        <w:t>. Der skal tages separat stilling til tildelin</w:t>
      </w:r>
      <w:r w:rsidR="00356FB5">
        <w:t>gskriterierne for både henholds</w:t>
      </w:r>
      <w:r>
        <w:t>vis rådgiverydelsen og entrepriserne.</w:t>
      </w:r>
    </w:p>
    <w:p w:rsidR="00C37F32" w:rsidRPr="00356FB5" w:rsidRDefault="00C37F32" w:rsidP="00356FB5">
      <w:pPr>
        <w:ind w:left="567" w:hanging="567"/>
        <w:rPr>
          <w:b/>
          <w:color w:val="1F497D" w:themeColor="text2"/>
        </w:rPr>
      </w:pPr>
      <w:r w:rsidRPr="00356FB5">
        <w:rPr>
          <w:b/>
          <w:color w:val="1F497D" w:themeColor="text2"/>
        </w:rPr>
        <w:t>13.</w:t>
      </w:r>
      <w:r w:rsidRPr="00356FB5">
        <w:rPr>
          <w:b/>
          <w:color w:val="1F497D" w:themeColor="text2"/>
        </w:rPr>
        <w:tab/>
        <w:t>Tilbudsvederlag</w:t>
      </w:r>
    </w:p>
    <w:p w:rsidR="00C37F32" w:rsidRDefault="00C37F32" w:rsidP="00356FB5">
      <w:pPr>
        <w:ind w:left="851"/>
        <w:jc w:val="both"/>
      </w:pPr>
      <w:r>
        <w:t>Hvis der er tale om en udbudsmodel, hvor der sædvanligvis ydes tilbudsvederlag, skal der konkret tages stilling til dette med forslag til vederlagets størrelse.</w:t>
      </w:r>
    </w:p>
    <w:p w:rsidR="00C37F32" w:rsidRDefault="00C37F32" w:rsidP="00C37F32"/>
    <w:p w:rsidR="00C37F32" w:rsidRDefault="00C37F32" w:rsidP="00C37F32"/>
    <w:p w:rsidR="00C37F32" w:rsidRDefault="00C37F32" w:rsidP="00C37F32"/>
    <w:p w:rsidR="00C37F32" w:rsidRDefault="00C37F32" w:rsidP="001D0CE6"/>
    <w:sectPr w:rsidR="00C37F32" w:rsidSect="001D0CE6">
      <w:footerReference w:type="default" r:id="rId9"/>
      <w:footerReference w:type="first" r:id="rId10"/>
      <w:pgSz w:w="11906" w:h="16838"/>
      <w:pgMar w:top="1701" w:right="1416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1" w:rsidRDefault="00AF6311" w:rsidP="00491F83">
      <w:pPr>
        <w:spacing w:after="0" w:line="240" w:lineRule="auto"/>
      </w:pPr>
      <w:r>
        <w:separator/>
      </w:r>
    </w:p>
  </w:endnote>
  <w:endnote w:type="continuationSeparator" w:id="0">
    <w:p w:rsidR="00AF6311" w:rsidRDefault="00AF6311" w:rsidP="0049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48268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6"/>
        <w:szCs w:val="16"/>
      </w:rPr>
    </w:sdtEndPr>
    <w:sdtContent>
      <w:p w:rsidR="00491F83" w:rsidRPr="00491F83" w:rsidRDefault="008606EF" w:rsidP="0010379D">
        <w:pPr>
          <w:pStyle w:val="Sidefod"/>
          <w:jc w:val="center"/>
          <w:rPr>
            <w:color w:val="A6A6A6" w:themeColor="background1" w:themeShade="A6"/>
            <w:sz w:val="16"/>
            <w:szCs w:val="16"/>
          </w:rPr>
        </w:pPr>
        <w:r>
          <w:rPr>
            <w:color w:val="A6A6A6" w:themeColor="background1" w:themeShade="A6"/>
            <w:sz w:val="16"/>
            <w:szCs w:val="16"/>
          </w:rPr>
          <w:t>Paradigme for udbudsstrategi</w:t>
        </w:r>
        <w:r w:rsidR="00491F83">
          <w:rPr>
            <w:color w:val="A6A6A6" w:themeColor="background1" w:themeShade="A6"/>
            <w:sz w:val="16"/>
            <w:szCs w:val="16"/>
          </w:rPr>
          <w:t xml:space="preserve"> / </w:t>
        </w:r>
        <w:r>
          <w:rPr>
            <w:color w:val="A6A6A6" w:themeColor="background1" w:themeShade="A6"/>
            <w:sz w:val="16"/>
            <w:szCs w:val="16"/>
          </w:rPr>
          <w:t>Kvalitetssikringsgruppen</w:t>
        </w:r>
        <w:r w:rsidR="00491F83" w:rsidRPr="00491F83">
          <w:rPr>
            <w:color w:val="A6A6A6" w:themeColor="background1" w:themeShade="A6"/>
            <w:sz w:val="16"/>
            <w:szCs w:val="16"/>
          </w:rPr>
          <w:t xml:space="preserve"> 2015/  </w:t>
        </w:r>
        <w:r w:rsidR="00491F83" w:rsidRPr="00491F83">
          <w:rPr>
            <w:color w:val="A6A6A6" w:themeColor="background1" w:themeShade="A6"/>
            <w:sz w:val="16"/>
            <w:szCs w:val="16"/>
          </w:rPr>
          <w:fldChar w:fldCharType="begin"/>
        </w:r>
        <w:r w:rsidR="00491F83" w:rsidRPr="00491F83">
          <w:rPr>
            <w:color w:val="A6A6A6" w:themeColor="background1" w:themeShade="A6"/>
            <w:sz w:val="16"/>
            <w:szCs w:val="16"/>
          </w:rPr>
          <w:instrText>PAGE   \* MERGEFORMAT</w:instrText>
        </w:r>
        <w:r w:rsidR="00491F83" w:rsidRPr="00491F83">
          <w:rPr>
            <w:color w:val="A6A6A6" w:themeColor="background1" w:themeShade="A6"/>
            <w:sz w:val="16"/>
            <w:szCs w:val="16"/>
          </w:rPr>
          <w:fldChar w:fldCharType="separate"/>
        </w:r>
        <w:r w:rsidR="00544513">
          <w:rPr>
            <w:noProof/>
            <w:color w:val="A6A6A6" w:themeColor="background1" w:themeShade="A6"/>
            <w:sz w:val="16"/>
            <w:szCs w:val="16"/>
          </w:rPr>
          <w:t>2</w:t>
        </w:r>
        <w:r w:rsidR="00491F83" w:rsidRPr="00491F83">
          <w:rPr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83" w:rsidRDefault="00491F83">
    <w:pPr>
      <w:pStyle w:val="Sidefod"/>
    </w:pPr>
    <w:r>
      <w:rPr>
        <w:b/>
        <w:noProof/>
        <w:kern w:val="24"/>
        <w:lang w:eastAsia="da-DK"/>
      </w:rPr>
      <w:drawing>
        <wp:inline distT="0" distB="0" distL="0" distR="0" wp14:anchorId="3D05C7AD" wp14:editId="21CA1A02">
          <wp:extent cx="6120130" cy="586750"/>
          <wp:effectExtent l="0" t="0" r="0" b="3810"/>
          <wp:docPr id="2" name="Billede 2" descr="logo ræk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æk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1" w:rsidRDefault="00AF6311" w:rsidP="00491F83">
      <w:pPr>
        <w:spacing w:after="0" w:line="240" w:lineRule="auto"/>
      </w:pPr>
      <w:r>
        <w:separator/>
      </w:r>
    </w:p>
  </w:footnote>
  <w:footnote w:type="continuationSeparator" w:id="0">
    <w:p w:rsidR="00AF6311" w:rsidRDefault="00AF6311" w:rsidP="0049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3C7"/>
    <w:multiLevelType w:val="hybridMultilevel"/>
    <w:tmpl w:val="A3321E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32"/>
    <w:rsid w:val="0010379D"/>
    <w:rsid w:val="001D0CE6"/>
    <w:rsid w:val="00204CFC"/>
    <w:rsid w:val="002A14E0"/>
    <w:rsid w:val="00356FB5"/>
    <w:rsid w:val="00491F83"/>
    <w:rsid w:val="00544513"/>
    <w:rsid w:val="005B5385"/>
    <w:rsid w:val="00621F17"/>
    <w:rsid w:val="008606EF"/>
    <w:rsid w:val="00A758FE"/>
    <w:rsid w:val="00AF6311"/>
    <w:rsid w:val="00B42400"/>
    <w:rsid w:val="00C26A85"/>
    <w:rsid w:val="00C37F32"/>
    <w:rsid w:val="00D92F69"/>
    <w:rsid w:val="00DA5631"/>
    <w:rsid w:val="00E60CD1"/>
    <w:rsid w:val="00F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C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1F83"/>
  </w:style>
  <w:style w:type="paragraph" w:styleId="Sidefod">
    <w:name w:val="footer"/>
    <w:basedOn w:val="Normal"/>
    <w:link w:val="SidefodTegn"/>
    <w:uiPriority w:val="99"/>
    <w:unhideWhenUsed/>
    <w:rsid w:val="0049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1F8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1F8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4C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20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C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1F83"/>
  </w:style>
  <w:style w:type="paragraph" w:styleId="Sidefod">
    <w:name w:val="footer"/>
    <w:basedOn w:val="Normal"/>
    <w:link w:val="SidefodTegn"/>
    <w:uiPriority w:val="99"/>
    <w:unhideWhenUsed/>
    <w:rsid w:val="00491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1F8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1F8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4C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20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\Desktop\grund%20skabelon%20alle%20reg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99A4-217E-48CE-9D4B-5EDDDC67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 skabelon alle reg</Template>
  <TotalTime>1</TotalTime>
  <Pages>4</Pages>
  <Words>635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Carlsen, CCA</dc:creator>
  <cp:lastModifiedBy>Philip Køppen, PKP.</cp:lastModifiedBy>
  <cp:revision>2</cp:revision>
  <cp:lastPrinted>2015-01-22T12:17:00Z</cp:lastPrinted>
  <dcterms:created xsi:type="dcterms:W3CDTF">2015-08-28T11:25:00Z</dcterms:created>
  <dcterms:modified xsi:type="dcterms:W3CDTF">2015-08-28T11:25:00Z</dcterms:modified>
</cp:coreProperties>
</file>